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C42B4" w14:textId="01686921" w:rsidR="00CB0D1E" w:rsidRPr="009D577A" w:rsidRDefault="00F83C73" w:rsidP="00F95A03">
      <w:pPr>
        <w:rPr>
          <w:b/>
          <w:sz w:val="32"/>
          <w:szCs w:val="32"/>
        </w:rPr>
      </w:pPr>
      <w:r w:rsidRPr="009D577A">
        <w:rPr>
          <w:b/>
          <w:sz w:val="32"/>
          <w:szCs w:val="32"/>
        </w:rPr>
        <w:t>Rahmenvertrag für Cloud-</w:t>
      </w:r>
      <w:r w:rsidR="00CB0D1E" w:rsidRPr="009D577A">
        <w:rPr>
          <w:b/>
          <w:sz w:val="32"/>
          <w:szCs w:val="32"/>
        </w:rPr>
        <w:t>Services</w:t>
      </w:r>
    </w:p>
    <w:p w14:paraId="3267487B" w14:textId="2F2D44E4" w:rsidR="00CB0D1E" w:rsidRDefault="00FE6648" w:rsidP="00F95A03">
      <w:pPr>
        <w:rPr>
          <w:i/>
          <w:iCs/>
        </w:rPr>
      </w:pPr>
      <w:r>
        <w:rPr>
          <w:i/>
          <w:iCs/>
          <w:highlight w:val="yellow"/>
        </w:rPr>
        <w:t>(</w:t>
      </w:r>
      <w:r w:rsidRPr="00FE6648">
        <w:rPr>
          <w:i/>
          <w:iCs/>
          <w:highlight w:val="yellow"/>
        </w:rPr>
        <w:t>Version vom 1</w:t>
      </w:r>
      <w:r w:rsidR="002B741A">
        <w:rPr>
          <w:i/>
          <w:iCs/>
          <w:highlight w:val="yellow"/>
        </w:rPr>
        <w:t>8</w:t>
      </w:r>
      <w:r w:rsidRPr="00FE6648">
        <w:rPr>
          <w:i/>
          <w:iCs/>
          <w:highlight w:val="yellow"/>
        </w:rPr>
        <w:t>.02.2020</w:t>
      </w:r>
      <w:r>
        <w:rPr>
          <w:i/>
          <w:iCs/>
        </w:rPr>
        <w:t>)</w:t>
      </w:r>
    </w:p>
    <w:p w14:paraId="58B2F911" w14:textId="77777777" w:rsidR="00FE6648" w:rsidRPr="00FE6648" w:rsidRDefault="00FE6648" w:rsidP="00F95A03">
      <w:pPr>
        <w:rPr>
          <w:i/>
          <w:iCs/>
        </w:rPr>
      </w:pPr>
      <w:bookmarkStart w:id="0" w:name="_GoBack"/>
      <w:bookmarkEnd w:id="0"/>
    </w:p>
    <w:p w14:paraId="45BE0718" w14:textId="77777777" w:rsidR="00CB0D1E" w:rsidRDefault="00CB0D1E" w:rsidP="00CB0D1E">
      <w:r>
        <w:t>zwischen</w:t>
      </w:r>
    </w:p>
    <w:p w14:paraId="2622ED4D" w14:textId="77777777" w:rsidR="00CB0D1E" w:rsidRDefault="00CB0D1E" w:rsidP="00CB0D1E"/>
    <w:p w14:paraId="24F664B0" w14:textId="77777777" w:rsidR="00CB0D1E" w:rsidRDefault="00CB0D1E" w:rsidP="00CB0D1E">
      <w:r w:rsidRPr="004640D2">
        <w:rPr>
          <w:b/>
          <w:highlight w:val="yellow"/>
        </w:rPr>
        <w:t>Arztpraxis</w:t>
      </w:r>
      <w:r w:rsidRPr="004640D2">
        <w:rPr>
          <w:b/>
          <w:highlight w:val="yellow"/>
        </w:rPr>
        <w:br/>
      </w:r>
      <w:r w:rsidRPr="004640D2">
        <w:rPr>
          <w:highlight w:val="yellow"/>
        </w:rPr>
        <w:t>Adresse</w:t>
      </w:r>
      <w:r w:rsidRPr="004640D2">
        <w:rPr>
          <w:highlight w:val="yellow"/>
        </w:rPr>
        <w:br/>
        <w:t>Postleitzahl Ort</w:t>
      </w:r>
    </w:p>
    <w:p w14:paraId="1B8172E1" w14:textId="77777777" w:rsidR="00CB0D1E" w:rsidRDefault="00CB0D1E" w:rsidP="00CB0D1E">
      <w:r>
        <w:t>(«</w:t>
      </w:r>
      <w:r w:rsidRPr="004640D2">
        <w:t>Kunde</w:t>
      </w:r>
      <w:r>
        <w:t>»)</w:t>
      </w:r>
    </w:p>
    <w:p w14:paraId="5020EB64" w14:textId="77777777" w:rsidR="00CB0D1E" w:rsidRDefault="00CB0D1E" w:rsidP="00CB0D1E"/>
    <w:p w14:paraId="19F34A60" w14:textId="77777777" w:rsidR="00CB0D1E" w:rsidRDefault="00CB0D1E" w:rsidP="00CB0D1E">
      <w:r>
        <w:t>und</w:t>
      </w:r>
    </w:p>
    <w:p w14:paraId="2578FFB2" w14:textId="77777777" w:rsidR="00CB0D1E" w:rsidRDefault="00CB0D1E" w:rsidP="00CB0D1E"/>
    <w:p w14:paraId="2DF619B2" w14:textId="77777777" w:rsidR="00CB0D1E" w:rsidRDefault="00CB0D1E" w:rsidP="00CB0D1E">
      <w:r w:rsidRPr="004640D2">
        <w:rPr>
          <w:b/>
          <w:highlight w:val="yellow"/>
        </w:rPr>
        <w:t>Cloudservice-Anbieter</w:t>
      </w:r>
      <w:r w:rsidRPr="004640D2">
        <w:rPr>
          <w:b/>
          <w:highlight w:val="yellow"/>
        </w:rPr>
        <w:br/>
      </w:r>
      <w:r w:rsidRPr="004640D2">
        <w:rPr>
          <w:highlight w:val="yellow"/>
        </w:rPr>
        <w:t>Adresse</w:t>
      </w:r>
      <w:r w:rsidRPr="004640D2">
        <w:rPr>
          <w:highlight w:val="yellow"/>
        </w:rPr>
        <w:br/>
        <w:t>Postleitzahl Ort</w:t>
      </w:r>
    </w:p>
    <w:p w14:paraId="554486D2" w14:textId="77777777" w:rsidR="00CB0D1E" w:rsidRDefault="00CB0D1E" w:rsidP="00CB0D1E">
      <w:r>
        <w:t>(«</w:t>
      </w:r>
      <w:r w:rsidRPr="00165571">
        <w:t>Anbieter</w:t>
      </w:r>
      <w:r>
        <w:t>»)</w:t>
      </w:r>
    </w:p>
    <w:p w14:paraId="40F5193B" w14:textId="77777777" w:rsidR="00CB0D1E" w:rsidRDefault="00CB0D1E" w:rsidP="00CB0D1E"/>
    <w:p w14:paraId="15D5B857" w14:textId="77777777" w:rsidR="00CB0D1E" w:rsidRPr="001A274D" w:rsidRDefault="00CB0D1E" w:rsidP="00CB0D1E">
      <w:r w:rsidRPr="001A274D">
        <w:t>hinsichtlich der Bereitstellung ärztliche</w:t>
      </w:r>
      <w:r>
        <w:t>r</w:t>
      </w:r>
      <w:r w:rsidRPr="001A274D">
        <w:t xml:space="preserve"> Fachapplikationen </w:t>
      </w:r>
      <w:r>
        <w:br/>
        <w:t xml:space="preserve">als Software </w:t>
      </w:r>
      <w:proofErr w:type="spellStart"/>
      <w:r>
        <w:t>as</w:t>
      </w:r>
      <w:proofErr w:type="spellEnd"/>
      <w:r>
        <w:t xml:space="preserve"> a Service</w:t>
      </w:r>
      <w:r w:rsidRPr="001A274D">
        <w:t xml:space="preserve"> (</w:t>
      </w:r>
      <w:r>
        <w:t>«</w:t>
      </w:r>
      <w:r w:rsidRPr="001A274D">
        <w:t>S</w:t>
      </w:r>
      <w:r>
        <w:t>aa</w:t>
      </w:r>
      <w:r w:rsidRPr="001A274D">
        <w:t>S</w:t>
      </w:r>
      <w:r>
        <w:t>»</w:t>
      </w:r>
      <w:r w:rsidRPr="001A274D">
        <w:t>)</w:t>
      </w:r>
    </w:p>
    <w:p w14:paraId="29CDE72A" w14:textId="77777777" w:rsidR="00CB0D1E" w:rsidRPr="00CB0D1E" w:rsidRDefault="00F95A03" w:rsidP="00CB0D1E">
      <w:pPr>
        <w:pStyle w:val="Inhaltsverzeichnis"/>
        <w:rPr>
          <w:rFonts w:asciiTheme="majorHAnsi" w:hAnsiTheme="majorHAnsi" w:cstheme="majorHAnsi"/>
          <w:sz w:val="22"/>
          <w:szCs w:val="22"/>
        </w:rPr>
      </w:pPr>
      <w:r>
        <w:br w:type="page"/>
      </w:r>
      <w:r w:rsidR="00CB0D1E" w:rsidRPr="00CB0D1E">
        <w:rPr>
          <w:rFonts w:asciiTheme="majorHAnsi" w:hAnsiTheme="majorHAnsi" w:cstheme="majorHAnsi"/>
          <w:sz w:val="22"/>
          <w:szCs w:val="22"/>
        </w:rPr>
        <w:lastRenderedPageBreak/>
        <w:t>Inhaltsverzeichnis</w:t>
      </w:r>
    </w:p>
    <w:p w14:paraId="5FB571B6" w14:textId="264D11D3" w:rsidR="000570C6" w:rsidRDefault="00CB0D1E" w:rsidP="000570C6">
      <w:pPr>
        <w:pStyle w:val="Verzeichnis1"/>
        <w:spacing w:line="360" w:lineRule="auto"/>
        <w:rPr>
          <w:rFonts w:eastAsiaTheme="minorEastAsia"/>
          <w:b w:val="0"/>
          <w:noProof/>
          <w:lang w:eastAsia="de-CH"/>
        </w:rPr>
      </w:pPr>
      <w:r w:rsidRPr="00CB0D1E">
        <w:rPr>
          <w:rFonts w:asciiTheme="majorHAnsi" w:hAnsiTheme="majorHAnsi" w:cstheme="majorHAnsi"/>
          <w:b w:val="0"/>
        </w:rPr>
        <w:fldChar w:fldCharType="begin"/>
      </w:r>
      <w:r w:rsidRPr="00CB0D1E">
        <w:rPr>
          <w:rFonts w:asciiTheme="majorHAnsi" w:hAnsiTheme="majorHAnsi" w:cstheme="majorHAnsi"/>
          <w:b w:val="0"/>
        </w:rPr>
        <w:instrText xml:space="preserve"> TOC \o "1-1" \h \z </w:instrText>
      </w:r>
      <w:r w:rsidRPr="00CB0D1E">
        <w:rPr>
          <w:rFonts w:asciiTheme="majorHAnsi" w:hAnsiTheme="majorHAnsi" w:cstheme="majorHAnsi"/>
          <w:b w:val="0"/>
        </w:rPr>
        <w:fldChar w:fldCharType="separate"/>
      </w:r>
      <w:hyperlink w:anchor="_Toc27122095" w:history="1">
        <w:r w:rsidR="000570C6" w:rsidRPr="00FE6227">
          <w:rPr>
            <w:rStyle w:val="Hyperlink"/>
            <w:rFonts w:cstheme="majorHAnsi"/>
            <w:noProof/>
          </w:rPr>
          <w:t>1</w:t>
        </w:r>
        <w:r w:rsidR="000570C6">
          <w:rPr>
            <w:rFonts w:eastAsiaTheme="minorEastAsia"/>
            <w:b w:val="0"/>
            <w:noProof/>
            <w:lang w:eastAsia="de-CH"/>
          </w:rPr>
          <w:tab/>
        </w:r>
        <w:r w:rsidR="000570C6" w:rsidRPr="00FE6227">
          <w:rPr>
            <w:rStyle w:val="Hyperlink"/>
            <w:rFonts w:cstheme="majorHAnsi"/>
            <w:noProof/>
          </w:rPr>
          <w:t>Definitionen</w:t>
        </w:r>
        <w:r w:rsidR="000570C6">
          <w:rPr>
            <w:noProof/>
            <w:webHidden/>
          </w:rPr>
          <w:tab/>
        </w:r>
        <w:r w:rsidR="000570C6">
          <w:rPr>
            <w:noProof/>
            <w:webHidden/>
          </w:rPr>
          <w:fldChar w:fldCharType="begin"/>
        </w:r>
        <w:r w:rsidR="000570C6">
          <w:rPr>
            <w:noProof/>
            <w:webHidden/>
          </w:rPr>
          <w:instrText xml:space="preserve"> PAGEREF _Toc27122095 \h </w:instrText>
        </w:r>
        <w:r w:rsidR="000570C6">
          <w:rPr>
            <w:noProof/>
            <w:webHidden/>
          </w:rPr>
        </w:r>
        <w:r w:rsidR="000570C6">
          <w:rPr>
            <w:noProof/>
            <w:webHidden/>
          </w:rPr>
          <w:fldChar w:fldCharType="separate"/>
        </w:r>
        <w:r w:rsidR="007543C8">
          <w:rPr>
            <w:noProof/>
            <w:webHidden/>
          </w:rPr>
          <w:t>3</w:t>
        </w:r>
        <w:r w:rsidR="000570C6">
          <w:rPr>
            <w:noProof/>
            <w:webHidden/>
          </w:rPr>
          <w:fldChar w:fldCharType="end"/>
        </w:r>
      </w:hyperlink>
    </w:p>
    <w:p w14:paraId="4ED83E30" w14:textId="1971F3E1" w:rsidR="000570C6" w:rsidRDefault="002B741A" w:rsidP="000570C6">
      <w:pPr>
        <w:pStyle w:val="Verzeichnis1"/>
        <w:spacing w:line="360" w:lineRule="auto"/>
        <w:rPr>
          <w:rFonts w:eastAsiaTheme="minorEastAsia"/>
          <w:b w:val="0"/>
          <w:noProof/>
          <w:lang w:eastAsia="de-CH"/>
        </w:rPr>
      </w:pPr>
      <w:hyperlink w:anchor="_Toc27122096" w:history="1">
        <w:r w:rsidR="000570C6" w:rsidRPr="00FE6227">
          <w:rPr>
            <w:rStyle w:val="Hyperlink"/>
            <w:rFonts w:cstheme="majorHAnsi"/>
            <w:noProof/>
          </w:rPr>
          <w:t>2</w:t>
        </w:r>
        <w:r w:rsidR="000570C6">
          <w:rPr>
            <w:rFonts w:eastAsiaTheme="minorEastAsia"/>
            <w:b w:val="0"/>
            <w:noProof/>
            <w:lang w:eastAsia="de-CH"/>
          </w:rPr>
          <w:tab/>
        </w:r>
        <w:r w:rsidR="000570C6" w:rsidRPr="00FE6227">
          <w:rPr>
            <w:rStyle w:val="Hyperlink"/>
            <w:rFonts w:cstheme="majorHAnsi"/>
            <w:noProof/>
          </w:rPr>
          <w:t>Vertragsgegenstand und Vertragsbestanteile</w:t>
        </w:r>
        <w:r w:rsidR="000570C6">
          <w:rPr>
            <w:noProof/>
            <w:webHidden/>
          </w:rPr>
          <w:tab/>
        </w:r>
        <w:r w:rsidR="000570C6">
          <w:rPr>
            <w:noProof/>
            <w:webHidden/>
          </w:rPr>
          <w:fldChar w:fldCharType="begin"/>
        </w:r>
        <w:r w:rsidR="000570C6">
          <w:rPr>
            <w:noProof/>
            <w:webHidden/>
          </w:rPr>
          <w:instrText xml:space="preserve"> PAGEREF _Toc27122096 \h </w:instrText>
        </w:r>
        <w:r w:rsidR="000570C6">
          <w:rPr>
            <w:noProof/>
            <w:webHidden/>
          </w:rPr>
        </w:r>
        <w:r w:rsidR="000570C6">
          <w:rPr>
            <w:noProof/>
            <w:webHidden/>
          </w:rPr>
          <w:fldChar w:fldCharType="separate"/>
        </w:r>
        <w:r w:rsidR="007543C8">
          <w:rPr>
            <w:noProof/>
            <w:webHidden/>
          </w:rPr>
          <w:t>3</w:t>
        </w:r>
        <w:r w:rsidR="000570C6">
          <w:rPr>
            <w:noProof/>
            <w:webHidden/>
          </w:rPr>
          <w:fldChar w:fldCharType="end"/>
        </w:r>
      </w:hyperlink>
    </w:p>
    <w:p w14:paraId="58D6A6EE" w14:textId="4A4A9045" w:rsidR="000570C6" w:rsidRDefault="002B741A" w:rsidP="000570C6">
      <w:pPr>
        <w:pStyle w:val="Verzeichnis1"/>
        <w:spacing w:line="360" w:lineRule="auto"/>
        <w:rPr>
          <w:rFonts w:eastAsiaTheme="minorEastAsia"/>
          <w:b w:val="0"/>
          <w:noProof/>
          <w:lang w:eastAsia="de-CH"/>
        </w:rPr>
      </w:pPr>
      <w:hyperlink w:anchor="_Toc27122097" w:history="1">
        <w:r w:rsidR="000570C6" w:rsidRPr="00FE6227">
          <w:rPr>
            <w:rStyle w:val="Hyperlink"/>
            <w:rFonts w:cstheme="majorHAnsi"/>
            <w:noProof/>
          </w:rPr>
          <w:t>3</w:t>
        </w:r>
        <w:r w:rsidR="000570C6">
          <w:rPr>
            <w:rFonts w:eastAsiaTheme="minorEastAsia"/>
            <w:b w:val="0"/>
            <w:noProof/>
            <w:lang w:eastAsia="de-CH"/>
          </w:rPr>
          <w:tab/>
        </w:r>
        <w:r w:rsidR="000570C6" w:rsidRPr="00FE6227">
          <w:rPr>
            <w:rStyle w:val="Hyperlink"/>
            <w:rFonts w:cstheme="majorHAnsi"/>
            <w:noProof/>
          </w:rPr>
          <w:t>Zugang und Nutzung der Cloud-Services</w:t>
        </w:r>
        <w:r w:rsidR="000570C6">
          <w:rPr>
            <w:noProof/>
            <w:webHidden/>
          </w:rPr>
          <w:tab/>
        </w:r>
        <w:r w:rsidR="000570C6">
          <w:rPr>
            <w:noProof/>
            <w:webHidden/>
          </w:rPr>
          <w:fldChar w:fldCharType="begin"/>
        </w:r>
        <w:r w:rsidR="000570C6">
          <w:rPr>
            <w:noProof/>
            <w:webHidden/>
          </w:rPr>
          <w:instrText xml:space="preserve"> PAGEREF _Toc27122097 \h </w:instrText>
        </w:r>
        <w:r w:rsidR="000570C6">
          <w:rPr>
            <w:noProof/>
            <w:webHidden/>
          </w:rPr>
        </w:r>
        <w:r w:rsidR="000570C6">
          <w:rPr>
            <w:noProof/>
            <w:webHidden/>
          </w:rPr>
          <w:fldChar w:fldCharType="separate"/>
        </w:r>
        <w:r w:rsidR="007543C8">
          <w:rPr>
            <w:noProof/>
            <w:webHidden/>
          </w:rPr>
          <w:t>3</w:t>
        </w:r>
        <w:r w:rsidR="000570C6">
          <w:rPr>
            <w:noProof/>
            <w:webHidden/>
          </w:rPr>
          <w:fldChar w:fldCharType="end"/>
        </w:r>
      </w:hyperlink>
    </w:p>
    <w:p w14:paraId="3DCEDD17" w14:textId="325DEF90" w:rsidR="000570C6" w:rsidRDefault="002B741A" w:rsidP="000570C6">
      <w:pPr>
        <w:pStyle w:val="Verzeichnis1"/>
        <w:spacing w:line="360" w:lineRule="auto"/>
        <w:rPr>
          <w:rFonts w:eastAsiaTheme="minorEastAsia"/>
          <w:b w:val="0"/>
          <w:noProof/>
          <w:lang w:eastAsia="de-CH"/>
        </w:rPr>
      </w:pPr>
      <w:hyperlink w:anchor="_Toc27122098" w:history="1">
        <w:r w:rsidR="000570C6" w:rsidRPr="00FE6227">
          <w:rPr>
            <w:rStyle w:val="Hyperlink"/>
            <w:rFonts w:cstheme="majorHAnsi"/>
            <w:noProof/>
          </w:rPr>
          <w:t>4</w:t>
        </w:r>
        <w:r w:rsidR="000570C6">
          <w:rPr>
            <w:rFonts w:eastAsiaTheme="minorEastAsia"/>
            <w:b w:val="0"/>
            <w:noProof/>
            <w:lang w:eastAsia="de-CH"/>
          </w:rPr>
          <w:tab/>
        </w:r>
        <w:r w:rsidR="000570C6" w:rsidRPr="00FE6227">
          <w:rPr>
            <w:rStyle w:val="Hyperlink"/>
            <w:rFonts w:cstheme="majorHAnsi"/>
            <w:noProof/>
          </w:rPr>
          <w:t>Einstellungen, Wartung und Pflege</w:t>
        </w:r>
        <w:r w:rsidR="000570C6">
          <w:rPr>
            <w:noProof/>
            <w:webHidden/>
          </w:rPr>
          <w:tab/>
        </w:r>
        <w:r w:rsidR="000570C6">
          <w:rPr>
            <w:noProof/>
            <w:webHidden/>
          </w:rPr>
          <w:fldChar w:fldCharType="begin"/>
        </w:r>
        <w:r w:rsidR="000570C6">
          <w:rPr>
            <w:noProof/>
            <w:webHidden/>
          </w:rPr>
          <w:instrText xml:space="preserve"> PAGEREF _Toc27122098 \h </w:instrText>
        </w:r>
        <w:r w:rsidR="000570C6">
          <w:rPr>
            <w:noProof/>
            <w:webHidden/>
          </w:rPr>
        </w:r>
        <w:r w:rsidR="000570C6">
          <w:rPr>
            <w:noProof/>
            <w:webHidden/>
          </w:rPr>
          <w:fldChar w:fldCharType="separate"/>
        </w:r>
        <w:r w:rsidR="007543C8">
          <w:rPr>
            <w:noProof/>
            <w:webHidden/>
          </w:rPr>
          <w:t>3</w:t>
        </w:r>
        <w:r w:rsidR="000570C6">
          <w:rPr>
            <w:noProof/>
            <w:webHidden/>
          </w:rPr>
          <w:fldChar w:fldCharType="end"/>
        </w:r>
      </w:hyperlink>
    </w:p>
    <w:p w14:paraId="44049306" w14:textId="44D7F7FC" w:rsidR="000570C6" w:rsidRDefault="002B741A" w:rsidP="000570C6">
      <w:pPr>
        <w:pStyle w:val="Verzeichnis1"/>
        <w:spacing w:line="360" w:lineRule="auto"/>
        <w:rPr>
          <w:rFonts w:eastAsiaTheme="minorEastAsia"/>
          <w:b w:val="0"/>
          <w:noProof/>
          <w:lang w:eastAsia="de-CH"/>
        </w:rPr>
      </w:pPr>
      <w:hyperlink w:anchor="_Toc27122099" w:history="1">
        <w:r w:rsidR="000570C6" w:rsidRPr="00FE6227">
          <w:rPr>
            <w:rStyle w:val="Hyperlink"/>
            <w:rFonts w:cstheme="majorHAnsi"/>
            <w:noProof/>
          </w:rPr>
          <w:t>5</w:t>
        </w:r>
        <w:r w:rsidR="000570C6">
          <w:rPr>
            <w:rFonts w:eastAsiaTheme="minorEastAsia"/>
            <w:b w:val="0"/>
            <w:noProof/>
            <w:lang w:eastAsia="de-CH"/>
          </w:rPr>
          <w:tab/>
        </w:r>
        <w:r w:rsidR="000570C6" w:rsidRPr="00FE6227">
          <w:rPr>
            <w:rStyle w:val="Hyperlink"/>
            <w:rFonts w:cstheme="majorHAnsi"/>
            <w:noProof/>
          </w:rPr>
          <w:t>Nutzungseinschränkungen und andere Mängel</w:t>
        </w:r>
        <w:r w:rsidR="000570C6">
          <w:rPr>
            <w:noProof/>
            <w:webHidden/>
          </w:rPr>
          <w:tab/>
        </w:r>
        <w:r w:rsidR="000570C6">
          <w:rPr>
            <w:noProof/>
            <w:webHidden/>
          </w:rPr>
          <w:fldChar w:fldCharType="begin"/>
        </w:r>
        <w:r w:rsidR="000570C6">
          <w:rPr>
            <w:noProof/>
            <w:webHidden/>
          </w:rPr>
          <w:instrText xml:space="preserve"> PAGEREF _Toc27122099 \h </w:instrText>
        </w:r>
        <w:r w:rsidR="000570C6">
          <w:rPr>
            <w:noProof/>
            <w:webHidden/>
          </w:rPr>
        </w:r>
        <w:r w:rsidR="000570C6">
          <w:rPr>
            <w:noProof/>
            <w:webHidden/>
          </w:rPr>
          <w:fldChar w:fldCharType="separate"/>
        </w:r>
        <w:r w:rsidR="007543C8">
          <w:rPr>
            <w:noProof/>
            <w:webHidden/>
          </w:rPr>
          <w:t>4</w:t>
        </w:r>
        <w:r w:rsidR="000570C6">
          <w:rPr>
            <w:noProof/>
            <w:webHidden/>
          </w:rPr>
          <w:fldChar w:fldCharType="end"/>
        </w:r>
      </w:hyperlink>
    </w:p>
    <w:p w14:paraId="7E891495" w14:textId="469EEC4F" w:rsidR="000570C6" w:rsidRDefault="002B741A" w:rsidP="000570C6">
      <w:pPr>
        <w:pStyle w:val="Verzeichnis1"/>
        <w:spacing w:line="360" w:lineRule="auto"/>
        <w:rPr>
          <w:rFonts w:eastAsiaTheme="minorEastAsia"/>
          <w:b w:val="0"/>
          <w:noProof/>
          <w:lang w:eastAsia="de-CH"/>
        </w:rPr>
      </w:pPr>
      <w:hyperlink w:anchor="_Toc27122100" w:history="1">
        <w:r w:rsidR="000570C6" w:rsidRPr="00FE6227">
          <w:rPr>
            <w:rStyle w:val="Hyperlink"/>
            <w:rFonts w:cstheme="majorHAnsi"/>
            <w:noProof/>
          </w:rPr>
          <w:t>6</w:t>
        </w:r>
        <w:r w:rsidR="000570C6">
          <w:rPr>
            <w:rFonts w:eastAsiaTheme="minorEastAsia"/>
            <w:b w:val="0"/>
            <w:noProof/>
            <w:lang w:eastAsia="de-CH"/>
          </w:rPr>
          <w:tab/>
        </w:r>
        <w:r w:rsidR="000570C6" w:rsidRPr="00FE6227">
          <w:rPr>
            <w:rStyle w:val="Hyperlink"/>
            <w:rFonts w:cstheme="majorHAnsi"/>
            <w:noProof/>
          </w:rPr>
          <w:t>Leistungsänderungen</w:t>
        </w:r>
        <w:r w:rsidR="000570C6">
          <w:rPr>
            <w:noProof/>
            <w:webHidden/>
          </w:rPr>
          <w:tab/>
        </w:r>
        <w:r w:rsidR="000570C6">
          <w:rPr>
            <w:noProof/>
            <w:webHidden/>
          </w:rPr>
          <w:fldChar w:fldCharType="begin"/>
        </w:r>
        <w:r w:rsidR="000570C6">
          <w:rPr>
            <w:noProof/>
            <w:webHidden/>
          </w:rPr>
          <w:instrText xml:space="preserve"> PAGEREF _Toc27122100 \h </w:instrText>
        </w:r>
        <w:r w:rsidR="000570C6">
          <w:rPr>
            <w:noProof/>
            <w:webHidden/>
          </w:rPr>
        </w:r>
        <w:r w:rsidR="000570C6">
          <w:rPr>
            <w:noProof/>
            <w:webHidden/>
          </w:rPr>
          <w:fldChar w:fldCharType="separate"/>
        </w:r>
        <w:r w:rsidR="007543C8">
          <w:rPr>
            <w:noProof/>
            <w:webHidden/>
          </w:rPr>
          <w:t>4</w:t>
        </w:r>
        <w:r w:rsidR="000570C6">
          <w:rPr>
            <w:noProof/>
            <w:webHidden/>
          </w:rPr>
          <w:fldChar w:fldCharType="end"/>
        </w:r>
      </w:hyperlink>
    </w:p>
    <w:p w14:paraId="6BE79C4D" w14:textId="7B3399A9" w:rsidR="000570C6" w:rsidRDefault="002B741A" w:rsidP="000570C6">
      <w:pPr>
        <w:pStyle w:val="Verzeichnis1"/>
        <w:spacing w:line="360" w:lineRule="auto"/>
        <w:rPr>
          <w:rFonts w:eastAsiaTheme="minorEastAsia"/>
          <w:b w:val="0"/>
          <w:noProof/>
          <w:lang w:eastAsia="de-CH"/>
        </w:rPr>
      </w:pPr>
      <w:hyperlink w:anchor="_Toc27122101" w:history="1">
        <w:r w:rsidR="000570C6" w:rsidRPr="00FE6227">
          <w:rPr>
            <w:rStyle w:val="Hyperlink"/>
            <w:rFonts w:cstheme="majorHAnsi"/>
            <w:noProof/>
          </w:rPr>
          <w:t>7</w:t>
        </w:r>
        <w:r w:rsidR="000570C6">
          <w:rPr>
            <w:rFonts w:eastAsiaTheme="minorEastAsia"/>
            <w:b w:val="0"/>
            <w:noProof/>
            <w:lang w:eastAsia="de-CH"/>
          </w:rPr>
          <w:tab/>
        </w:r>
        <w:r w:rsidR="000570C6" w:rsidRPr="00FE6227">
          <w:rPr>
            <w:rStyle w:val="Hyperlink"/>
            <w:rFonts w:cstheme="majorHAnsi"/>
            <w:noProof/>
          </w:rPr>
          <w:t>Lizenz- und Nutzungsbedingungen</w:t>
        </w:r>
        <w:r w:rsidR="000570C6">
          <w:rPr>
            <w:noProof/>
            <w:webHidden/>
          </w:rPr>
          <w:tab/>
        </w:r>
        <w:r w:rsidR="000570C6">
          <w:rPr>
            <w:noProof/>
            <w:webHidden/>
          </w:rPr>
          <w:fldChar w:fldCharType="begin"/>
        </w:r>
        <w:r w:rsidR="000570C6">
          <w:rPr>
            <w:noProof/>
            <w:webHidden/>
          </w:rPr>
          <w:instrText xml:space="preserve"> PAGEREF _Toc27122101 \h </w:instrText>
        </w:r>
        <w:r w:rsidR="000570C6">
          <w:rPr>
            <w:noProof/>
            <w:webHidden/>
          </w:rPr>
        </w:r>
        <w:r w:rsidR="000570C6">
          <w:rPr>
            <w:noProof/>
            <w:webHidden/>
          </w:rPr>
          <w:fldChar w:fldCharType="separate"/>
        </w:r>
        <w:r w:rsidR="007543C8">
          <w:rPr>
            <w:noProof/>
            <w:webHidden/>
          </w:rPr>
          <w:t>4</w:t>
        </w:r>
        <w:r w:rsidR="000570C6">
          <w:rPr>
            <w:noProof/>
            <w:webHidden/>
          </w:rPr>
          <w:fldChar w:fldCharType="end"/>
        </w:r>
      </w:hyperlink>
    </w:p>
    <w:p w14:paraId="2F641FB3" w14:textId="20B7DFE7" w:rsidR="000570C6" w:rsidRDefault="002B741A" w:rsidP="000570C6">
      <w:pPr>
        <w:pStyle w:val="Verzeichnis1"/>
        <w:spacing w:line="360" w:lineRule="auto"/>
        <w:rPr>
          <w:rFonts w:eastAsiaTheme="minorEastAsia"/>
          <w:b w:val="0"/>
          <w:noProof/>
          <w:lang w:eastAsia="de-CH"/>
        </w:rPr>
      </w:pPr>
      <w:hyperlink w:anchor="_Toc27122102" w:history="1">
        <w:r w:rsidR="000570C6" w:rsidRPr="00FE6227">
          <w:rPr>
            <w:rStyle w:val="Hyperlink"/>
            <w:rFonts w:cstheme="majorHAnsi"/>
            <w:noProof/>
          </w:rPr>
          <w:t>8</w:t>
        </w:r>
        <w:r w:rsidR="000570C6">
          <w:rPr>
            <w:rFonts w:eastAsiaTheme="minorEastAsia"/>
            <w:b w:val="0"/>
            <w:noProof/>
            <w:lang w:eastAsia="de-CH"/>
          </w:rPr>
          <w:tab/>
        </w:r>
        <w:r w:rsidR="000570C6" w:rsidRPr="00FE6227">
          <w:rPr>
            <w:rStyle w:val="Hyperlink"/>
            <w:rFonts w:cstheme="majorHAnsi"/>
            <w:noProof/>
          </w:rPr>
          <w:t>Vertraulichkeit und Berufsgeheimnis</w:t>
        </w:r>
        <w:r w:rsidR="000570C6">
          <w:rPr>
            <w:noProof/>
            <w:webHidden/>
          </w:rPr>
          <w:tab/>
        </w:r>
        <w:r w:rsidR="000570C6">
          <w:rPr>
            <w:noProof/>
            <w:webHidden/>
          </w:rPr>
          <w:fldChar w:fldCharType="begin"/>
        </w:r>
        <w:r w:rsidR="000570C6">
          <w:rPr>
            <w:noProof/>
            <w:webHidden/>
          </w:rPr>
          <w:instrText xml:space="preserve"> PAGEREF _Toc27122102 \h </w:instrText>
        </w:r>
        <w:r w:rsidR="000570C6">
          <w:rPr>
            <w:noProof/>
            <w:webHidden/>
          </w:rPr>
        </w:r>
        <w:r w:rsidR="000570C6">
          <w:rPr>
            <w:noProof/>
            <w:webHidden/>
          </w:rPr>
          <w:fldChar w:fldCharType="separate"/>
        </w:r>
        <w:r w:rsidR="007543C8">
          <w:rPr>
            <w:noProof/>
            <w:webHidden/>
          </w:rPr>
          <w:t>5</w:t>
        </w:r>
        <w:r w:rsidR="000570C6">
          <w:rPr>
            <w:noProof/>
            <w:webHidden/>
          </w:rPr>
          <w:fldChar w:fldCharType="end"/>
        </w:r>
      </w:hyperlink>
    </w:p>
    <w:p w14:paraId="2F20D4E5" w14:textId="55A931F4" w:rsidR="000570C6" w:rsidRDefault="002B741A" w:rsidP="000570C6">
      <w:pPr>
        <w:pStyle w:val="Verzeichnis1"/>
        <w:spacing w:line="360" w:lineRule="auto"/>
        <w:rPr>
          <w:rFonts w:eastAsiaTheme="minorEastAsia"/>
          <w:b w:val="0"/>
          <w:noProof/>
          <w:lang w:eastAsia="de-CH"/>
        </w:rPr>
      </w:pPr>
      <w:hyperlink w:anchor="_Toc27122103" w:history="1">
        <w:r w:rsidR="000570C6" w:rsidRPr="00FE6227">
          <w:rPr>
            <w:rStyle w:val="Hyperlink"/>
            <w:rFonts w:cstheme="majorHAnsi"/>
            <w:noProof/>
          </w:rPr>
          <w:t>9</w:t>
        </w:r>
        <w:r w:rsidR="000570C6">
          <w:rPr>
            <w:rFonts w:eastAsiaTheme="minorEastAsia"/>
            <w:b w:val="0"/>
            <w:noProof/>
            <w:lang w:eastAsia="de-CH"/>
          </w:rPr>
          <w:tab/>
        </w:r>
        <w:r w:rsidR="000570C6" w:rsidRPr="00FE6227">
          <w:rPr>
            <w:rStyle w:val="Hyperlink"/>
            <w:rFonts w:cstheme="majorHAnsi"/>
            <w:noProof/>
          </w:rPr>
          <w:t>Datenschutzvorgaben</w:t>
        </w:r>
        <w:r w:rsidR="000570C6">
          <w:rPr>
            <w:noProof/>
            <w:webHidden/>
          </w:rPr>
          <w:tab/>
        </w:r>
        <w:r w:rsidR="000570C6">
          <w:rPr>
            <w:noProof/>
            <w:webHidden/>
          </w:rPr>
          <w:fldChar w:fldCharType="begin"/>
        </w:r>
        <w:r w:rsidR="000570C6">
          <w:rPr>
            <w:noProof/>
            <w:webHidden/>
          </w:rPr>
          <w:instrText xml:space="preserve"> PAGEREF _Toc27122103 \h </w:instrText>
        </w:r>
        <w:r w:rsidR="000570C6">
          <w:rPr>
            <w:noProof/>
            <w:webHidden/>
          </w:rPr>
        </w:r>
        <w:r w:rsidR="000570C6">
          <w:rPr>
            <w:noProof/>
            <w:webHidden/>
          </w:rPr>
          <w:fldChar w:fldCharType="separate"/>
        </w:r>
        <w:r w:rsidR="007543C8">
          <w:rPr>
            <w:noProof/>
            <w:webHidden/>
          </w:rPr>
          <w:t>5</w:t>
        </w:r>
        <w:r w:rsidR="000570C6">
          <w:rPr>
            <w:noProof/>
            <w:webHidden/>
          </w:rPr>
          <w:fldChar w:fldCharType="end"/>
        </w:r>
      </w:hyperlink>
    </w:p>
    <w:p w14:paraId="199417E1" w14:textId="0C4ED5CC" w:rsidR="000570C6" w:rsidRDefault="002B741A" w:rsidP="000570C6">
      <w:pPr>
        <w:pStyle w:val="Verzeichnis1"/>
        <w:spacing w:line="360" w:lineRule="auto"/>
        <w:rPr>
          <w:rFonts w:eastAsiaTheme="minorEastAsia"/>
          <w:b w:val="0"/>
          <w:noProof/>
          <w:lang w:eastAsia="de-CH"/>
        </w:rPr>
      </w:pPr>
      <w:hyperlink w:anchor="_Toc27122104" w:history="1">
        <w:r w:rsidR="000570C6" w:rsidRPr="00FE6227">
          <w:rPr>
            <w:rStyle w:val="Hyperlink"/>
            <w:rFonts w:cstheme="majorHAnsi"/>
            <w:noProof/>
          </w:rPr>
          <w:t>10</w:t>
        </w:r>
        <w:r w:rsidR="000570C6">
          <w:rPr>
            <w:rFonts w:eastAsiaTheme="minorEastAsia"/>
            <w:b w:val="0"/>
            <w:noProof/>
            <w:lang w:eastAsia="de-CH"/>
          </w:rPr>
          <w:tab/>
        </w:r>
        <w:r w:rsidR="000570C6" w:rsidRPr="00FE6227">
          <w:rPr>
            <w:rStyle w:val="Hyperlink"/>
            <w:rFonts w:cstheme="majorHAnsi"/>
            <w:noProof/>
          </w:rPr>
          <w:t>Sicherheits- und Überwachungsmassnahmen</w:t>
        </w:r>
        <w:r w:rsidR="000570C6">
          <w:rPr>
            <w:noProof/>
            <w:webHidden/>
          </w:rPr>
          <w:tab/>
        </w:r>
        <w:r w:rsidR="000570C6">
          <w:rPr>
            <w:noProof/>
            <w:webHidden/>
          </w:rPr>
          <w:fldChar w:fldCharType="begin"/>
        </w:r>
        <w:r w:rsidR="000570C6">
          <w:rPr>
            <w:noProof/>
            <w:webHidden/>
          </w:rPr>
          <w:instrText xml:space="preserve"> PAGEREF _Toc27122104 \h </w:instrText>
        </w:r>
        <w:r w:rsidR="000570C6">
          <w:rPr>
            <w:noProof/>
            <w:webHidden/>
          </w:rPr>
        </w:r>
        <w:r w:rsidR="000570C6">
          <w:rPr>
            <w:noProof/>
            <w:webHidden/>
          </w:rPr>
          <w:fldChar w:fldCharType="separate"/>
        </w:r>
        <w:r w:rsidR="007543C8">
          <w:rPr>
            <w:noProof/>
            <w:webHidden/>
          </w:rPr>
          <w:t>6</w:t>
        </w:r>
        <w:r w:rsidR="000570C6">
          <w:rPr>
            <w:noProof/>
            <w:webHidden/>
          </w:rPr>
          <w:fldChar w:fldCharType="end"/>
        </w:r>
      </w:hyperlink>
    </w:p>
    <w:p w14:paraId="6164DF8A" w14:textId="305EE1B9" w:rsidR="000570C6" w:rsidRDefault="002B741A" w:rsidP="000570C6">
      <w:pPr>
        <w:pStyle w:val="Verzeichnis1"/>
        <w:spacing w:line="360" w:lineRule="auto"/>
        <w:rPr>
          <w:rFonts w:eastAsiaTheme="minorEastAsia"/>
          <w:b w:val="0"/>
          <w:noProof/>
          <w:lang w:eastAsia="de-CH"/>
        </w:rPr>
      </w:pPr>
      <w:hyperlink w:anchor="_Toc27122105" w:history="1">
        <w:r w:rsidR="000570C6" w:rsidRPr="00FE6227">
          <w:rPr>
            <w:rStyle w:val="Hyperlink"/>
            <w:rFonts w:cstheme="majorHAnsi"/>
            <w:noProof/>
          </w:rPr>
          <w:t>11</w:t>
        </w:r>
        <w:r w:rsidR="000570C6">
          <w:rPr>
            <w:rFonts w:eastAsiaTheme="minorEastAsia"/>
            <w:b w:val="0"/>
            <w:noProof/>
            <w:lang w:eastAsia="de-CH"/>
          </w:rPr>
          <w:tab/>
        </w:r>
        <w:r w:rsidR="000570C6" w:rsidRPr="00FE6227">
          <w:rPr>
            <w:rStyle w:val="Hyperlink"/>
            <w:rFonts w:cstheme="majorHAnsi"/>
            <w:noProof/>
          </w:rPr>
          <w:t>Backup, Disaster-Recovery-Leistungen und Datenherausgabe</w:t>
        </w:r>
        <w:r w:rsidR="000570C6">
          <w:rPr>
            <w:noProof/>
            <w:webHidden/>
          </w:rPr>
          <w:tab/>
        </w:r>
        <w:r w:rsidR="000570C6">
          <w:rPr>
            <w:noProof/>
            <w:webHidden/>
          </w:rPr>
          <w:fldChar w:fldCharType="begin"/>
        </w:r>
        <w:r w:rsidR="000570C6">
          <w:rPr>
            <w:noProof/>
            <w:webHidden/>
          </w:rPr>
          <w:instrText xml:space="preserve"> PAGEREF _Toc27122105 \h </w:instrText>
        </w:r>
        <w:r w:rsidR="000570C6">
          <w:rPr>
            <w:noProof/>
            <w:webHidden/>
          </w:rPr>
        </w:r>
        <w:r w:rsidR="000570C6">
          <w:rPr>
            <w:noProof/>
            <w:webHidden/>
          </w:rPr>
          <w:fldChar w:fldCharType="separate"/>
        </w:r>
        <w:r w:rsidR="007543C8">
          <w:rPr>
            <w:noProof/>
            <w:webHidden/>
          </w:rPr>
          <w:t>6</w:t>
        </w:r>
        <w:r w:rsidR="000570C6">
          <w:rPr>
            <w:noProof/>
            <w:webHidden/>
          </w:rPr>
          <w:fldChar w:fldCharType="end"/>
        </w:r>
      </w:hyperlink>
    </w:p>
    <w:p w14:paraId="75E091F0" w14:textId="626AE2DA" w:rsidR="000570C6" w:rsidRDefault="002B741A" w:rsidP="000570C6">
      <w:pPr>
        <w:pStyle w:val="Verzeichnis1"/>
        <w:spacing w:line="360" w:lineRule="auto"/>
        <w:rPr>
          <w:rFonts w:eastAsiaTheme="minorEastAsia"/>
          <w:b w:val="0"/>
          <w:noProof/>
          <w:lang w:eastAsia="de-CH"/>
        </w:rPr>
      </w:pPr>
      <w:hyperlink w:anchor="_Toc27122106" w:history="1">
        <w:r w:rsidR="000570C6" w:rsidRPr="00FE6227">
          <w:rPr>
            <w:rStyle w:val="Hyperlink"/>
            <w:rFonts w:cstheme="majorHAnsi"/>
            <w:noProof/>
          </w:rPr>
          <w:t>12</w:t>
        </w:r>
        <w:r w:rsidR="000570C6">
          <w:rPr>
            <w:rFonts w:eastAsiaTheme="minorEastAsia"/>
            <w:b w:val="0"/>
            <w:noProof/>
            <w:lang w:eastAsia="de-CH"/>
          </w:rPr>
          <w:tab/>
        </w:r>
        <w:r w:rsidR="000570C6" w:rsidRPr="00FE6227">
          <w:rPr>
            <w:rStyle w:val="Hyperlink"/>
            <w:rFonts w:cstheme="majorHAnsi"/>
            <w:noProof/>
          </w:rPr>
          <w:t>Informationspflichten und Auditrechte</w:t>
        </w:r>
        <w:r w:rsidR="000570C6">
          <w:rPr>
            <w:noProof/>
            <w:webHidden/>
          </w:rPr>
          <w:tab/>
        </w:r>
        <w:r w:rsidR="000570C6">
          <w:rPr>
            <w:noProof/>
            <w:webHidden/>
          </w:rPr>
          <w:fldChar w:fldCharType="begin"/>
        </w:r>
        <w:r w:rsidR="000570C6">
          <w:rPr>
            <w:noProof/>
            <w:webHidden/>
          </w:rPr>
          <w:instrText xml:space="preserve"> PAGEREF _Toc27122106 \h </w:instrText>
        </w:r>
        <w:r w:rsidR="000570C6">
          <w:rPr>
            <w:noProof/>
            <w:webHidden/>
          </w:rPr>
        </w:r>
        <w:r w:rsidR="000570C6">
          <w:rPr>
            <w:noProof/>
            <w:webHidden/>
          </w:rPr>
          <w:fldChar w:fldCharType="separate"/>
        </w:r>
        <w:r w:rsidR="007543C8">
          <w:rPr>
            <w:noProof/>
            <w:webHidden/>
          </w:rPr>
          <w:t>6</w:t>
        </w:r>
        <w:r w:rsidR="000570C6">
          <w:rPr>
            <w:noProof/>
            <w:webHidden/>
          </w:rPr>
          <w:fldChar w:fldCharType="end"/>
        </w:r>
      </w:hyperlink>
    </w:p>
    <w:p w14:paraId="434B981A" w14:textId="0ABBBB31" w:rsidR="000570C6" w:rsidRDefault="002B741A" w:rsidP="000570C6">
      <w:pPr>
        <w:pStyle w:val="Verzeichnis1"/>
        <w:spacing w:line="360" w:lineRule="auto"/>
        <w:rPr>
          <w:rFonts w:eastAsiaTheme="minorEastAsia"/>
          <w:b w:val="0"/>
          <w:noProof/>
          <w:lang w:eastAsia="de-CH"/>
        </w:rPr>
      </w:pPr>
      <w:hyperlink w:anchor="_Toc27122107" w:history="1">
        <w:r w:rsidR="000570C6" w:rsidRPr="00FE6227">
          <w:rPr>
            <w:rStyle w:val="Hyperlink"/>
            <w:rFonts w:cstheme="majorHAnsi"/>
            <w:noProof/>
          </w:rPr>
          <w:t>13</w:t>
        </w:r>
        <w:r w:rsidR="000570C6">
          <w:rPr>
            <w:rFonts w:eastAsiaTheme="minorEastAsia"/>
            <w:b w:val="0"/>
            <w:noProof/>
            <w:lang w:eastAsia="de-CH"/>
          </w:rPr>
          <w:tab/>
        </w:r>
        <w:r w:rsidR="000570C6" w:rsidRPr="00FE6227">
          <w:rPr>
            <w:rStyle w:val="Hyperlink"/>
            <w:rFonts w:cstheme="majorHAnsi"/>
            <w:noProof/>
          </w:rPr>
          <w:t>Vergütung und Zahlungsmodalitäten</w:t>
        </w:r>
        <w:r w:rsidR="000570C6">
          <w:rPr>
            <w:noProof/>
            <w:webHidden/>
          </w:rPr>
          <w:tab/>
        </w:r>
        <w:r w:rsidR="000570C6">
          <w:rPr>
            <w:noProof/>
            <w:webHidden/>
          </w:rPr>
          <w:fldChar w:fldCharType="begin"/>
        </w:r>
        <w:r w:rsidR="000570C6">
          <w:rPr>
            <w:noProof/>
            <w:webHidden/>
          </w:rPr>
          <w:instrText xml:space="preserve"> PAGEREF _Toc27122107 \h </w:instrText>
        </w:r>
        <w:r w:rsidR="000570C6">
          <w:rPr>
            <w:noProof/>
            <w:webHidden/>
          </w:rPr>
        </w:r>
        <w:r w:rsidR="000570C6">
          <w:rPr>
            <w:noProof/>
            <w:webHidden/>
          </w:rPr>
          <w:fldChar w:fldCharType="separate"/>
        </w:r>
        <w:r w:rsidR="007543C8">
          <w:rPr>
            <w:noProof/>
            <w:webHidden/>
          </w:rPr>
          <w:t>7</w:t>
        </w:r>
        <w:r w:rsidR="000570C6">
          <w:rPr>
            <w:noProof/>
            <w:webHidden/>
          </w:rPr>
          <w:fldChar w:fldCharType="end"/>
        </w:r>
      </w:hyperlink>
    </w:p>
    <w:p w14:paraId="4616F749" w14:textId="78D4CC2D" w:rsidR="000570C6" w:rsidRDefault="002B741A" w:rsidP="000570C6">
      <w:pPr>
        <w:pStyle w:val="Verzeichnis1"/>
        <w:spacing w:line="360" w:lineRule="auto"/>
        <w:rPr>
          <w:rFonts w:eastAsiaTheme="minorEastAsia"/>
          <w:b w:val="0"/>
          <w:noProof/>
          <w:lang w:eastAsia="de-CH"/>
        </w:rPr>
      </w:pPr>
      <w:hyperlink w:anchor="_Toc27122108" w:history="1">
        <w:r w:rsidR="000570C6" w:rsidRPr="00FE6227">
          <w:rPr>
            <w:rStyle w:val="Hyperlink"/>
            <w:rFonts w:cstheme="majorHAnsi"/>
            <w:noProof/>
          </w:rPr>
          <w:t>14</w:t>
        </w:r>
        <w:r w:rsidR="000570C6">
          <w:rPr>
            <w:rFonts w:eastAsiaTheme="minorEastAsia"/>
            <w:b w:val="0"/>
            <w:noProof/>
            <w:lang w:eastAsia="de-CH"/>
          </w:rPr>
          <w:tab/>
        </w:r>
        <w:r w:rsidR="000570C6" w:rsidRPr="00FE6227">
          <w:rPr>
            <w:rStyle w:val="Hyperlink"/>
            <w:rFonts w:cstheme="majorHAnsi"/>
            <w:noProof/>
          </w:rPr>
          <w:t>Gewährleistung und Haftung</w:t>
        </w:r>
        <w:r w:rsidR="000570C6">
          <w:rPr>
            <w:noProof/>
            <w:webHidden/>
          </w:rPr>
          <w:tab/>
        </w:r>
        <w:r w:rsidR="000570C6">
          <w:rPr>
            <w:noProof/>
            <w:webHidden/>
          </w:rPr>
          <w:fldChar w:fldCharType="begin"/>
        </w:r>
        <w:r w:rsidR="000570C6">
          <w:rPr>
            <w:noProof/>
            <w:webHidden/>
          </w:rPr>
          <w:instrText xml:space="preserve"> PAGEREF _Toc27122108 \h </w:instrText>
        </w:r>
        <w:r w:rsidR="000570C6">
          <w:rPr>
            <w:noProof/>
            <w:webHidden/>
          </w:rPr>
        </w:r>
        <w:r w:rsidR="000570C6">
          <w:rPr>
            <w:noProof/>
            <w:webHidden/>
          </w:rPr>
          <w:fldChar w:fldCharType="separate"/>
        </w:r>
        <w:r w:rsidR="007543C8">
          <w:rPr>
            <w:noProof/>
            <w:webHidden/>
          </w:rPr>
          <w:t>7</w:t>
        </w:r>
        <w:r w:rsidR="000570C6">
          <w:rPr>
            <w:noProof/>
            <w:webHidden/>
          </w:rPr>
          <w:fldChar w:fldCharType="end"/>
        </w:r>
      </w:hyperlink>
    </w:p>
    <w:p w14:paraId="7A197D30" w14:textId="094CB1C6" w:rsidR="000570C6" w:rsidRDefault="002B741A" w:rsidP="000570C6">
      <w:pPr>
        <w:pStyle w:val="Verzeichnis1"/>
        <w:spacing w:line="360" w:lineRule="auto"/>
        <w:rPr>
          <w:rFonts w:eastAsiaTheme="minorEastAsia"/>
          <w:b w:val="0"/>
          <w:noProof/>
          <w:lang w:eastAsia="de-CH"/>
        </w:rPr>
      </w:pPr>
      <w:hyperlink w:anchor="_Toc27122109" w:history="1">
        <w:r w:rsidR="000570C6" w:rsidRPr="00FE6227">
          <w:rPr>
            <w:rStyle w:val="Hyperlink"/>
            <w:rFonts w:cstheme="majorHAnsi"/>
            <w:noProof/>
          </w:rPr>
          <w:t>15</w:t>
        </w:r>
        <w:r w:rsidR="000570C6">
          <w:rPr>
            <w:rFonts w:eastAsiaTheme="minorEastAsia"/>
            <w:b w:val="0"/>
            <w:noProof/>
            <w:lang w:eastAsia="de-CH"/>
          </w:rPr>
          <w:tab/>
        </w:r>
        <w:r w:rsidR="000570C6" w:rsidRPr="00FE6227">
          <w:rPr>
            <w:rStyle w:val="Hyperlink"/>
            <w:rFonts w:cstheme="majorHAnsi"/>
            <w:noProof/>
          </w:rPr>
          <w:t>Vertragsdauer und -beendigung</w:t>
        </w:r>
        <w:r w:rsidR="000570C6">
          <w:rPr>
            <w:noProof/>
            <w:webHidden/>
          </w:rPr>
          <w:tab/>
        </w:r>
        <w:r w:rsidR="000570C6">
          <w:rPr>
            <w:noProof/>
            <w:webHidden/>
          </w:rPr>
          <w:fldChar w:fldCharType="begin"/>
        </w:r>
        <w:r w:rsidR="000570C6">
          <w:rPr>
            <w:noProof/>
            <w:webHidden/>
          </w:rPr>
          <w:instrText xml:space="preserve"> PAGEREF _Toc27122109 \h </w:instrText>
        </w:r>
        <w:r w:rsidR="000570C6">
          <w:rPr>
            <w:noProof/>
            <w:webHidden/>
          </w:rPr>
        </w:r>
        <w:r w:rsidR="000570C6">
          <w:rPr>
            <w:noProof/>
            <w:webHidden/>
          </w:rPr>
          <w:fldChar w:fldCharType="separate"/>
        </w:r>
        <w:r w:rsidR="007543C8">
          <w:rPr>
            <w:noProof/>
            <w:webHidden/>
          </w:rPr>
          <w:t>7</w:t>
        </w:r>
        <w:r w:rsidR="000570C6">
          <w:rPr>
            <w:noProof/>
            <w:webHidden/>
          </w:rPr>
          <w:fldChar w:fldCharType="end"/>
        </w:r>
      </w:hyperlink>
    </w:p>
    <w:p w14:paraId="3EE49A31" w14:textId="4002F1FF" w:rsidR="000570C6" w:rsidRDefault="002B741A" w:rsidP="000570C6">
      <w:pPr>
        <w:pStyle w:val="Verzeichnis1"/>
        <w:spacing w:line="360" w:lineRule="auto"/>
        <w:rPr>
          <w:rFonts w:eastAsiaTheme="minorEastAsia"/>
          <w:b w:val="0"/>
          <w:noProof/>
          <w:lang w:eastAsia="de-CH"/>
        </w:rPr>
      </w:pPr>
      <w:hyperlink w:anchor="_Toc27122110" w:history="1">
        <w:r w:rsidR="000570C6" w:rsidRPr="00FE6227">
          <w:rPr>
            <w:rStyle w:val="Hyperlink"/>
            <w:rFonts w:cstheme="majorHAnsi"/>
            <w:noProof/>
          </w:rPr>
          <w:t>16</w:t>
        </w:r>
        <w:r w:rsidR="000570C6">
          <w:rPr>
            <w:rFonts w:eastAsiaTheme="minorEastAsia"/>
            <w:b w:val="0"/>
            <w:noProof/>
            <w:lang w:eastAsia="de-CH"/>
          </w:rPr>
          <w:tab/>
        </w:r>
        <w:r w:rsidR="000570C6" w:rsidRPr="00FE6227">
          <w:rPr>
            <w:rStyle w:val="Hyperlink"/>
            <w:rFonts w:cstheme="majorHAnsi"/>
            <w:noProof/>
          </w:rPr>
          <w:t>Folgen der Vertragsbeendigung</w:t>
        </w:r>
        <w:r w:rsidR="000570C6">
          <w:rPr>
            <w:noProof/>
            <w:webHidden/>
          </w:rPr>
          <w:tab/>
        </w:r>
        <w:r w:rsidR="000570C6">
          <w:rPr>
            <w:noProof/>
            <w:webHidden/>
          </w:rPr>
          <w:fldChar w:fldCharType="begin"/>
        </w:r>
        <w:r w:rsidR="000570C6">
          <w:rPr>
            <w:noProof/>
            <w:webHidden/>
          </w:rPr>
          <w:instrText xml:space="preserve"> PAGEREF _Toc27122110 \h </w:instrText>
        </w:r>
        <w:r w:rsidR="000570C6">
          <w:rPr>
            <w:noProof/>
            <w:webHidden/>
          </w:rPr>
        </w:r>
        <w:r w:rsidR="000570C6">
          <w:rPr>
            <w:noProof/>
            <w:webHidden/>
          </w:rPr>
          <w:fldChar w:fldCharType="separate"/>
        </w:r>
        <w:r w:rsidR="007543C8">
          <w:rPr>
            <w:noProof/>
            <w:webHidden/>
          </w:rPr>
          <w:t>8</w:t>
        </w:r>
        <w:r w:rsidR="000570C6">
          <w:rPr>
            <w:noProof/>
            <w:webHidden/>
          </w:rPr>
          <w:fldChar w:fldCharType="end"/>
        </w:r>
      </w:hyperlink>
    </w:p>
    <w:p w14:paraId="62FC1819" w14:textId="4B542501" w:rsidR="000570C6" w:rsidRDefault="002B741A" w:rsidP="000570C6">
      <w:pPr>
        <w:pStyle w:val="Verzeichnis1"/>
        <w:spacing w:line="360" w:lineRule="auto"/>
        <w:rPr>
          <w:rFonts w:eastAsiaTheme="minorEastAsia"/>
          <w:b w:val="0"/>
          <w:noProof/>
          <w:lang w:eastAsia="de-CH"/>
        </w:rPr>
      </w:pPr>
      <w:hyperlink w:anchor="_Toc27122111" w:history="1">
        <w:r w:rsidR="000570C6" w:rsidRPr="00FE6227">
          <w:rPr>
            <w:rStyle w:val="Hyperlink"/>
            <w:rFonts w:cstheme="majorHAnsi"/>
            <w:noProof/>
          </w:rPr>
          <w:t>17</w:t>
        </w:r>
        <w:r w:rsidR="000570C6">
          <w:rPr>
            <w:rFonts w:eastAsiaTheme="minorEastAsia"/>
            <w:b w:val="0"/>
            <w:noProof/>
            <w:lang w:eastAsia="de-CH"/>
          </w:rPr>
          <w:tab/>
        </w:r>
        <w:r w:rsidR="000570C6" w:rsidRPr="00FE6227">
          <w:rPr>
            <w:rStyle w:val="Hyperlink"/>
            <w:rFonts w:cstheme="majorHAnsi"/>
            <w:noProof/>
          </w:rPr>
          <w:t>Schlussbestimmungen</w:t>
        </w:r>
        <w:r w:rsidR="000570C6">
          <w:rPr>
            <w:noProof/>
            <w:webHidden/>
          </w:rPr>
          <w:tab/>
        </w:r>
        <w:r w:rsidR="000570C6">
          <w:rPr>
            <w:noProof/>
            <w:webHidden/>
          </w:rPr>
          <w:fldChar w:fldCharType="begin"/>
        </w:r>
        <w:r w:rsidR="000570C6">
          <w:rPr>
            <w:noProof/>
            <w:webHidden/>
          </w:rPr>
          <w:instrText xml:space="preserve"> PAGEREF _Toc27122111 \h </w:instrText>
        </w:r>
        <w:r w:rsidR="000570C6">
          <w:rPr>
            <w:noProof/>
            <w:webHidden/>
          </w:rPr>
        </w:r>
        <w:r w:rsidR="000570C6">
          <w:rPr>
            <w:noProof/>
            <w:webHidden/>
          </w:rPr>
          <w:fldChar w:fldCharType="separate"/>
        </w:r>
        <w:r w:rsidR="007543C8">
          <w:rPr>
            <w:noProof/>
            <w:webHidden/>
          </w:rPr>
          <w:t>8</w:t>
        </w:r>
        <w:r w:rsidR="000570C6">
          <w:rPr>
            <w:noProof/>
            <w:webHidden/>
          </w:rPr>
          <w:fldChar w:fldCharType="end"/>
        </w:r>
      </w:hyperlink>
    </w:p>
    <w:p w14:paraId="7C35702A" w14:textId="3D9139A8" w:rsidR="000570C6" w:rsidRDefault="002B741A" w:rsidP="000570C6">
      <w:pPr>
        <w:pStyle w:val="Verzeichnis1"/>
        <w:spacing w:line="360" w:lineRule="auto"/>
        <w:rPr>
          <w:rFonts w:eastAsiaTheme="minorEastAsia"/>
          <w:b w:val="0"/>
          <w:noProof/>
          <w:lang w:eastAsia="de-CH"/>
        </w:rPr>
      </w:pPr>
      <w:hyperlink w:anchor="_Toc27122112" w:history="1">
        <w:r w:rsidR="000570C6" w:rsidRPr="00FE6227">
          <w:rPr>
            <w:rStyle w:val="Hyperlink"/>
            <w:rFonts w:cstheme="majorHAnsi"/>
            <w:noProof/>
          </w:rPr>
          <w:t>18</w:t>
        </w:r>
        <w:r w:rsidR="000570C6">
          <w:rPr>
            <w:rFonts w:eastAsiaTheme="minorEastAsia"/>
            <w:b w:val="0"/>
            <w:noProof/>
            <w:lang w:eastAsia="de-CH"/>
          </w:rPr>
          <w:tab/>
        </w:r>
        <w:r w:rsidR="000570C6" w:rsidRPr="00FE6227">
          <w:rPr>
            <w:rStyle w:val="Hyperlink"/>
            <w:rFonts w:cstheme="majorHAnsi"/>
            <w:noProof/>
          </w:rPr>
          <w:t>Anwendbares Recht und Gerichtsstand</w:t>
        </w:r>
        <w:r w:rsidR="000570C6">
          <w:rPr>
            <w:noProof/>
            <w:webHidden/>
          </w:rPr>
          <w:tab/>
        </w:r>
        <w:r w:rsidR="000570C6">
          <w:rPr>
            <w:noProof/>
            <w:webHidden/>
          </w:rPr>
          <w:fldChar w:fldCharType="begin"/>
        </w:r>
        <w:r w:rsidR="000570C6">
          <w:rPr>
            <w:noProof/>
            <w:webHidden/>
          </w:rPr>
          <w:instrText xml:space="preserve"> PAGEREF _Toc27122112 \h </w:instrText>
        </w:r>
        <w:r w:rsidR="000570C6">
          <w:rPr>
            <w:noProof/>
            <w:webHidden/>
          </w:rPr>
        </w:r>
        <w:r w:rsidR="000570C6">
          <w:rPr>
            <w:noProof/>
            <w:webHidden/>
          </w:rPr>
          <w:fldChar w:fldCharType="separate"/>
        </w:r>
        <w:r w:rsidR="007543C8">
          <w:rPr>
            <w:noProof/>
            <w:webHidden/>
          </w:rPr>
          <w:t>8</w:t>
        </w:r>
        <w:r w:rsidR="000570C6">
          <w:rPr>
            <w:noProof/>
            <w:webHidden/>
          </w:rPr>
          <w:fldChar w:fldCharType="end"/>
        </w:r>
      </w:hyperlink>
    </w:p>
    <w:p w14:paraId="291CE97B" w14:textId="30B57A6E" w:rsidR="000570C6" w:rsidRDefault="002B741A" w:rsidP="000570C6">
      <w:pPr>
        <w:pStyle w:val="Verzeichnis1"/>
        <w:spacing w:line="360" w:lineRule="auto"/>
        <w:rPr>
          <w:rFonts w:eastAsiaTheme="minorEastAsia"/>
          <w:b w:val="0"/>
          <w:noProof/>
          <w:lang w:eastAsia="de-CH"/>
        </w:rPr>
      </w:pPr>
      <w:hyperlink w:anchor="_Toc27122113" w:history="1">
        <w:r w:rsidR="000570C6" w:rsidRPr="00FE6227">
          <w:rPr>
            <w:rStyle w:val="Hyperlink"/>
            <w:rFonts w:cstheme="majorHAnsi"/>
            <w:noProof/>
          </w:rPr>
          <w:t>19</w:t>
        </w:r>
        <w:r w:rsidR="000570C6">
          <w:rPr>
            <w:rFonts w:eastAsiaTheme="minorEastAsia"/>
            <w:b w:val="0"/>
            <w:noProof/>
            <w:lang w:eastAsia="de-CH"/>
          </w:rPr>
          <w:tab/>
        </w:r>
        <w:r w:rsidR="000570C6" w:rsidRPr="00FE6227">
          <w:rPr>
            <w:rStyle w:val="Hyperlink"/>
            <w:rFonts w:cstheme="majorHAnsi"/>
            <w:noProof/>
          </w:rPr>
          <w:t>Unterschriften</w:t>
        </w:r>
        <w:r w:rsidR="000570C6">
          <w:rPr>
            <w:noProof/>
            <w:webHidden/>
          </w:rPr>
          <w:tab/>
        </w:r>
        <w:r w:rsidR="000570C6">
          <w:rPr>
            <w:noProof/>
            <w:webHidden/>
          </w:rPr>
          <w:fldChar w:fldCharType="begin"/>
        </w:r>
        <w:r w:rsidR="000570C6">
          <w:rPr>
            <w:noProof/>
            <w:webHidden/>
          </w:rPr>
          <w:instrText xml:space="preserve"> PAGEREF _Toc27122113 \h </w:instrText>
        </w:r>
        <w:r w:rsidR="000570C6">
          <w:rPr>
            <w:noProof/>
            <w:webHidden/>
          </w:rPr>
        </w:r>
        <w:r w:rsidR="000570C6">
          <w:rPr>
            <w:noProof/>
            <w:webHidden/>
          </w:rPr>
          <w:fldChar w:fldCharType="separate"/>
        </w:r>
        <w:r w:rsidR="007543C8">
          <w:rPr>
            <w:noProof/>
            <w:webHidden/>
          </w:rPr>
          <w:t>9</w:t>
        </w:r>
        <w:r w:rsidR="000570C6">
          <w:rPr>
            <w:noProof/>
            <w:webHidden/>
          </w:rPr>
          <w:fldChar w:fldCharType="end"/>
        </w:r>
      </w:hyperlink>
    </w:p>
    <w:p w14:paraId="300A3822" w14:textId="75D3F6F1" w:rsidR="00CB0D1E" w:rsidRPr="00CB0D1E" w:rsidRDefault="00CB0D1E" w:rsidP="000570C6">
      <w:pPr>
        <w:spacing w:line="360" w:lineRule="auto"/>
        <w:rPr>
          <w:rFonts w:asciiTheme="majorHAnsi" w:hAnsiTheme="majorHAnsi" w:cstheme="majorHAnsi"/>
        </w:rPr>
      </w:pPr>
      <w:r w:rsidRPr="00CB0D1E">
        <w:rPr>
          <w:rFonts w:asciiTheme="majorHAnsi" w:hAnsiTheme="majorHAnsi" w:cstheme="majorHAnsi"/>
          <w:b/>
          <w:noProof/>
        </w:rPr>
        <w:fldChar w:fldCharType="end"/>
      </w:r>
    </w:p>
    <w:p w14:paraId="13184818" w14:textId="77777777" w:rsidR="00CB0D1E" w:rsidRPr="00CB0D1E" w:rsidRDefault="00CB0D1E" w:rsidP="00CB0D1E">
      <w:pPr>
        <w:rPr>
          <w:rFonts w:asciiTheme="majorHAnsi" w:hAnsiTheme="majorHAnsi" w:cstheme="majorHAnsi"/>
        </w:rPr>
      </w:pPr>
      <w:r w:rsidRPr="00CB0D1E">
        <w:rPr>
          <w:rFonts w:asciiTheme="majorHAnsi" w:hAnsiTheme="majorHAnsi" w:cstheme="majorHAnsi"/>
        </w:rPr>
        <w:br w:type="page"/>
      </w:r>
    </w:p>
    <w:p w14:paraId="25928F18" w14:textId="77777777" w:rsidR="00CB0D1E" w:rsidRPr="00CB0D1E" w:rsidRDefault="00CB0D1E" w:rsidP="00FC0BC6">
      <w:pPr>
        <w:pStyle w:val="berschrift1"/>
        <w:keepLines w:val="0"/>
        <w:numPr>
          <w:ilvl w:val="0"/>
          <w:numId w:val="19"/>
        </w:numPr>
        <w:spacing w:before="360" w:after="120" w:line="276" w:lineRule="auto"/>
        <w:ind w:left="431" w:hanging="431"/>
        <w:rPr>
          <w:rFonts w:cstheme="majorHAnsi"/>
          <w:sz w:val="22"/>
          <w:szCs w:val="22"/>
        </w:rPr>
      </w:pPr>
      <w:bookmarkStart w:id="1" w:name="_Toc27122095"/>
      <w:r w:rsidRPr="00CB0D1E">
        <w:rPr>
          <w:rFonts w:cstheme="majorHAnsi"/>
          <w:sz w:val="22"/>
          <w:szCs w:val="22"/>
        </w:rPr>
        <w:lastRenderedPageBreak/>
        <w:t>Definitionen</w:t>
      </w:r>
      <w:bookmarkEnd w:id="1"/>
    </w:p>
    <w:p w14:paraId="02886569" w14:textId="77777777" w:rsidR="00CB0D1E" w:rsidRPr="00CB0D1E" w:rsidRDefault="00CB0D1E" w:rsidP="00FC0BC6">
      <w:pPr>
        <w:pStyle w:val="Clause"/>
        <w:numPr>
          <w:ilvl w:val="1"/>
          <w:numId w:val="19"/>
        </w:numPr>
        <w:ind w:left="0" w:firstLine="0"/>
        <w:rPr>
          <w:rFonts w:asciiTheme="majorHAnsi" w:hAnsiTheme="majorHAnsi" w:cstheme="majorHAnsi"/>
          <w:sz w:val="22"/>
          <w:szCs w:val="22"/>
        </w:rPr>
      </w:pPr>
      <w:r w:rsidRPr="00CB0D1E">
        <w:rPr>
          <w:rFonts w:asciiTheme="majorHAnsi" w:hAnsiTheme="majorHAnsi" w:cstheme="majorHAnsi"/>
          <w:sz w:val="22"/>
          <w:szCs w:val="22"/>
          <w:lang w:eastAsia="de-CH"/>
        </w:rPr>
        <w:t>Für diesen Vertrag gelten die folgenden Definitionen:</w:t>
      </w:r>
    </w:p>
    <w:p w14:paraId="45A730E1" w14:textId="77777777" w:rsidR="00CB0D1E" w:rsidRPr="00CB0D1E" w:rsidRDefault="00CB0D1E"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rPr>
      </w:pPr>
      <w:r w:rsidRPr="00CB0D1E">
        <w:rPr>
          <w:rFonts w:asciiTheme="majorHAnsi" w:hAnsiTheme="majorHAnsi" w:cstheme="majorHAnsi"/>
          <w:lang w:eastAsia="de-CH"/>
        </w:rPr>
        <w:t xml:space="preserve">Als </w:t>
      </w:r>
      <w:r w:rsidRPr="00CB0D1E">
        <w:rPr>
          <w:rFonts w:asciiTheme="majorHAnsi" w:hAnsiTheme="majorHAnsi" w:cstheme="majorHAnsi"/>
          <w:b/>
          <w:lang w:eastAsia="de-CH"/>
        </w:rPr>
        <w:t>Cloud-Services</w:t>
      </w:r>
      <w:r w:rsidRPr="00CB0D1E">
        <w:rPr>
          <w:rFonts w:asciiTheme="majorHAnsi" w:hAnsiTheme="majorHAnsi" w:cstheme="majorHAnsi"/>
          <w:lang w:eastAsia="de-CH"/>
        </w:rPr>
        <w:t xml:space="preserve"> gelten die in der Leistungsvereinbarung definierten </w:t>
      </w:r>
      <w:r w:rsidRPr="00CB0D1E">
        <w:rPr>
          <w:rFonts w:asciiTheme="majorHAnsi" w:hAnsiTheme="majorHAnsi" w:cstheme="majorHAnsi"/>
        </w:rPr>
        <w:t xml:space="preserve">medizinischen Software-Fachapplikationen (inkl. Weiterentwicklungen) und zusätzlichen Servicekomponenten (z.B. </w:t>
      </w:r>
      <w:proofErr w:type="spellStart"/>
      <w:r w:rsidRPr="00CB0D1E">
        <w:rPr>
          <w:rFonts w:asciiTheme="majorHAnsi" w:hAnsiTheme="majorHAnsi" w:cstheme="majorHAnsi"/>
        </w:rPr>
        <w:t>Compute</w:t>
      </w:r>
      <w:proofErr w:type="spellEnd"/>
      <w:r w:rsidRPr="00CB0D1E">
        <w:rPr>
          <w:rFonts w:asciiTheme="majorHAnsi" w:hAnsiTheme="majorHAnsi" w:cstheme="majorHAnsi"/>
        </w:rPr>
        <w:t xml:space="preserve">, Storage etc.) als «Software </w:t>
      </w:r>
      <w:proofErr w:type="spellStart"/>
      <w:r w:rsidRPr="00CB0D1E">
        <w:rPr>
          <w:rFonts w:asciiTheme="majorHAnsi" w:hAnsiTheme="majorHAnsi" w:cstheme="majorHAnsi"/>
        </w:rPr>
        <w:t>as</w:t>
      </w:r>
      <w:proofErr w:type="spellEnd"/>
      <w:r w:rsidRPr="00CB0D1E">
        <w:rPr>
          <w:rFonts w:asciiTheme="majorHAnsi" w:hAnsiTheme="majorHAnsi" w:cstheme="majorHAnsi"/>
        </w:rPr>
        <w:t xml:space="preserve"> a Service» sowie die dazugehörige Benutzerdokumentation.</w:t>
      </w:r>
    </w:p>
    <w:p w14:paraId="3A0B095F" w14:textId="77777777" w:rsidR="00CB0D1E" w:rsidRPr="00CB0D1E" w:rsidRDefault="00CB0D1E"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rPr>
      </w:pPr>
      <w:r w:rsidRPr="00CB0D1E">
        <w:rPr>
          <w:rFonts w:asciiTheme="majorHAnsi" w:hAnsiTheme="majorHAnsi" w:cstheme="majorHAnsi"/>
        </w:rPr>
        <w:t xml:space="preserve">Die </w:t>
      </w:r>
      <w:r w:rsidRPr="00CB0D1E">
        <w:rPr>
          <w:rFonts w:asciiTheme="majorHAnsi" w:hAnsiTheme="majorHAnsi" w:cstheme="majorHAnsi"/>
          <w:b/>
        </w:rPr>
        <w:t>Bereitstellung</w:t>
      </w:r>
      <w:r w:rsidRPr="00CB0D1E">
        <w:rPr>
          <w:rFonts w:asciiTheme="majorHAnsi" w:hAnsiTheme="majorHAnsi" w:cstheme="majorHAnsi"/>
        </w:rPr>
        <w:t xml:space="preserve"> umfasst den Betrieb, die Zurverfügungstellung, die Wartung und die Pflege der Cloud-Services sowie der Kundensupport des Anbieters.</w:t>
      </w:r>
    </w:p>
    <w:p w14:paraId="547365FD" w14:textId="77777777" w:rsidR="00CB0D1E" w:rsidRPr="00CB0D1E" w:rsidRDefault="00CB0D1E"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rPr>
      </w:pPr>
      <w:r w:rsidRPr="00CB0D1E">
        <w:rPr>
          <w:rFonts w:asciiTheme="majorHAnsi" w:hAnsiTheme="majorHAnsi" w:cstheme="majorHAnsi"/>
          <w:lang w:eastAsia="de-CH"/>
        </w:rPr>
        <w:t>A</w:t>
      </w:r>
      <w:r w:rsidRPr="00CB0D1E">
        <w:rPr>
          <w:rFonts w:asciiTheme="majorHAnsi" w:hAnsiTheme="majorHAnsi" w:cstheme="majorHAnsi"/>
        </w:rPr>
        <w:t xml:space="preserve">ls </w:t>
      </w:r>
      <w:r w:rsidRPr="00CB0D1E">
        <w:rPr>
          <w:rFonts w:asciiTheme="majorHAnsi" w:hAnsiTheme="majorHAnsi" w:cstheme="majorHAnsi"/>
          <w:b/>
        </w:rPr>
        <w:t>Leistungsübergabepunkt</w:t>
      </w:r>
      <w:r w:rsidRPr="00CB0D1E">
        <w:rPr>
          <w:rFonts w:asciiTheme="majorHAnsi" w:hAnsiTheme="majorHAnsi" w:cstheme="majorHAnsi"/>
        </w:rPr>
        <w:t xml:space="preserve"> gilt ohne anderweitige Vereinbarung in der Leistungsvereinbarung der Schweizer Standort des Rechenzentrums, an welches der Kunde angebunden ist.</w:t>
      </w:r>
    </w:p>
    <w:p w14:paraId="6A1C8B00" w14:textId="77777777" w:rsidR="00CB0D1E" w:rsidRPr="00CB0D1E" w:rsidRDefault="00CB0D1E"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rPr>
      </w:pPr>
      <w:r w:rsidRPr="00CB0D1E">
        <w:rPr>
          <w:rFonts w:asciiTheme="majorHAnsi" w:hAnsiTheme="majorHAnsi" w:cstheme="majorHAnsi"/>
          <w:lang w:eastAsia="de-CH"/>
        </w:rPr>
        <w:t xml:space="preserve">Als </w:t>
      </w:r>
      <w:r w:rsidRPr="00CB0D1E">
        <w:rPr>
          <w:rFonts w:asciiTheme="majorHAnsi" w:hAnsiTheme="majorHAnsi" w:cstheme="majorHAnsi"/>
          <w:b/>
          <w:lang w:eastAsia="de-CH"/>
        </w:rPr>
        <w:t>Nutzerdaten</w:t>
      </w:r>
      <w:r w:rsidRPr="00CB0D1E">
        <w:rPr>
          <w:rFonts w:asciiTheme="majorHAnsi" w:hAnsiTheme="majorHAnsi" w:cstheme="majorHAnsi"/>
          <w:lang w:eastAsia="de-CH"/>
        </w:rPr>
        <w:t xml:space="preserve"> gelten alle </w:t>
      </w:r>
      <w:r w:rsidRPr="00CB0D1E">
        <w:rPr>
          <w:rFonts w:asciiTheme="majorHAnsi" w:hAnsiTheme="majorHAnsi" w:cstheme="majorHAnsi"/>
        </w:rPr>
        <w:t>Informationen, welche der Anbieter oder seine Mitarbeiter und die von ihm beigezogenen Dritten im Zusammenhang mit diesem Vertrag zur Kenntnis nehmen können.</w:t>
      </w:r>
    </w:p>
    <w:p w14:paraId="640D7503" w14:textId="77777777" w:rsidR="00CB0D1E" w:rsidRPr="00CB0D1E" w:rsidRDefault="00CB0D1E" w:rsidP="00FC0BC6">
      <w:pPr>
        <w:pStyle w:val="berschrift1"/>
        <w:keepLines w:val="0"/>
        <w:numPr>
          <w:ilvl w:val="0"/>
          <w:numId w:val="19"/>
        </w:numPr>
        <w:spacing w:before="360" w:after="120" w:line="276" w:lineRule="auto"/>
        <w:ind w:left="431" w:hanging="431"/>
        <w:rPr>
          <w:rFonts w:cstheme="majorHAnsi"/>
          <w:sz w:val="22"/>
          <w:szCs w:val="22"/>
        </w:rPr>
      </w:pPr>
      <w:bookmarkStart w:id="2" w:name="_Toc27122096"/>
      <w:r w:rsidRPr="00CB0D1E">
        <w:rPr>
          <w:rFonts w:cstheme="majorHAnsi"/>
          <w:sz w:val="22"/>
          <w:szCs w:val="22"/>
        </w:rPr>
        <w:t>Vertragsgegenstand und Vertragsbestanteile</w:t>
      </w:r>
      <w:bookmarkEnd w:id="2"/>
    </w:p>
    <w:p w14:paraId="734ED126" w14:textId="59D97185"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Dieser Vertrag regelt die Bereitstellung der Cloud-Services durch den Anbieter und deren Nutzung durch den Kunden. Nicht Vertragsgegenstand bilden die nach separater Vereinbarung geschuldete Installation, Datenmigration und Erstkonfiguration des Cloud-Services oder vom Kunden verlangte Weiterentwicklungen u</w:t>
      </w:r>
      <w:r w:rsidR="00690D0A">
        <w:rPr>
          <w:rFonts w:cstheme="majorHAnsi"/>
          <w:b w:val="0"/>
          <w:sz w:val="22"/>
          <w:szCs w:val="22"/>
        </w:rPr>
        <w:t>nd Anpassungen über den standard</w:t>
      </w:r>
      <w:r w:rsidRPr="00CB0D1E">
        <w:rPr>
          <w:rFonts w:cstheme="majorHAnsi"/>
          <w:b w:val="0"/>
          <w:sz w:val="22"/>
          <w:szCs w:val="22"/>
        </w:rPr>
        <w:t>mässig bereitgestellten Konfigurationsumfang hinaus.</w:t>
      </w:r>
    </w:p>
    <w:p w14:paraId="31BA8F93" w14:textId="09A6CE01"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 xml:space="preserve">Die nachfolgend aufgezählten Unterlagen stellen integralen Vertragsbestandteil dar und gelten bei Widersprüchen in absteigender Reihenfolge, wobei bei mehreren Unterlagen auf gleicher Stufe </w:t>
      </w:r>
      <w:r w:rsidR="00690D0A">
        <w:rPr>
          <w:rFonts w:cstheme="majorHAnsi"/>
          <w:b w:val="0"/>
          <w:sz w:val="22"/>
          <w:szCs w:val="22"/>
        </w:rPr>
        <w:t>die</w:t>
      </w:r>
      <w:r w:rsidRPr="00CB0D1E">
        <w:rPr>
          <w:rFonts w:cstheme="majorHAnsi"/>
          <w:b w:val="0"/>
          <w:sz w:val="22"/>
          <w:szCs w:val="22"/>
        </w:rPr>
        <w:t xml:space="preserve"> neuere jeweils vorgeht: </w:t>
      </w:r>
    </w:p>
    <w:p w14:paraId="5D22BC1D" w14:textId="77777777" w:rsidR="00CB0D1E" w:rsidRPr="00CB0D1E" w:rsidRDefault="00CB0D1E"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rPr>
      </w:pPr>
      <w:r w:rsidRPr="00CB0D1E">
        <w:rPr>
          <w:rFonts w:asciiTheme="majorHAnsi" w:hAnsiTheme="majorHAnsi" w:cstheme="majorHAnsi"/>
        </w:rPr>
        <w:t xml:space="preserve">Rahmenvertrag; </w:t>
      </w:r>
    </w:p>
    <w:p w14:paraId="189789D7" w14:textId="406AB5E2" w:rsidR="00CB0D1E" w:rsidRPr="00CB0D1E" w:rsidRDefault="00A31473"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rPr>
      </w:pPr>
      <w:r>
        <w:rPr>
          <w:rFonts w:asciiTheme="majorHAnsi" w:hAnsiTheme="majorHAnsi" w:cstheme="majorHAnsi"/>
        </w:rPr>
        <w:t>Auftrags</w:t>
      </w:r>
      <w:r w:rsidR="00CB0D1E" w:rsidRPr="00CB0D1E">
        <w:rPr>
          <w:rFonts w:asciiTheme="majorHAnsi" w:hAnsiTheme="majorHAnsi" w:cstheme="majorHAnsi"/>
        </w:rPr>
        <w:t xml:space="preserve">verarbeitungsvereinbarung (Anhang 1); </w:t>
      </w:r>
    </w:p>
    <w:p w14:paraId="088FC6C4" w14:textId="77777777" w:rsidR="00CB0D1E" w:rsidRPr="00CB0D1E" w:rsidRDefault="00CB0D1E"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rPr>
      </w:pPr>
      <w:r w:rsidRPr="00CB0D1E">
        <w:rPr>
          <w:rFonts w:asciiTheme="majorHAnsi" w:hAnsiTheme="majorHAnsi" w:cstheme="majorHAnsi"/>
        </w:rPr>
        <w:t xml:space="preserve">Minimalanforderungen IT-Grundschutz für Praxisärztinnen und Praxisärzte (Anhang 2); </w:t>
      </w:r>
    </w:p>
    <w:p w14:paraId="0EC8EF86" w14:textId="77777777" w:rsidR="00CB0D1E" w:rsidRPr="00CB0D1E" w:rsidRDefault="00CB0D1E"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rPr>
      </w:pPr>
      <w:r w:rsidRPr="00CB0D1E">
        <w:rPr>
          <w:rFonts w:asciiTheme="majorHAnsi" w:hAnsiTheme="majorHAnsi" w:cstheme="majorHAnsi"/>
        </w:rPr>
        <w:t xml:space="preserve">Leistungsvereinbarung mit dem Anbieter (Anhang 3); </w:t>
      </w:r>
    </w:p>
    <w:p w14:paraId="4D99A27F" w14:textId="2CBB122D" w:rsidR="00CB0D1E" w:rsidRPr="00CB0D1E" w:rsidRDefault="00CB0D1E"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rPr>
      </w:pPr>
      <w:r w:rsidRPr="00CB0D1E">
        <w:rPr>
          <w:rFonts w:asciiTheme="majorHAnsi" w:hAnsiTheme="majorHAnsi" w:cstheme="majorHAnsi"/>
        </w:rPr>
        <w:t>Lizenzbedin</w:t>
      </w:r>
      <w:r w:rsidR="00690D0A">
        <w:rPr>
          <w:rFonts w:asciiTheme="majorHAnsi" w:hAnsiTheme="majorHAnsi" w:cstheme="majorHAnsi"/>
        </w:rPr>
        <w:t>gungen des Anbieters und Dritter</w:t>
      </w:r>
      <w:r w:rsidRPr="00CB0D1E">
        <w:rPr>
          <w:rFonts w:asciiTheme="majorHAnsi" w:hAnsiTheme="majorHAnsi" w:cstheme="majorHAnsi"/>
        </w:rPr>
        <w:t xml:space="preserve"> (Anhang 4).</w:t>
      </w:r>
    </w:p>
    <w:p w14:paraId="19FBD288" w14:textId="77777777" w:rsidR="00CB0D1E" w:rsidRPr="00CB0D1E" w:rsidRDefault="00CB0D1E" w:rsidP="00FC0BC6">
      <w:pPr>
        <w:pStyle w:val="berschrift1"/>
        <w:keepLines w:val="0"/>
        <w:numPr>
          <w:ilvl w:val="0"/>
          <w:numId w:val="19"/>
        </w:numPr>
        <w:spacing w:before="360" w:after="120" w:line="276" w:lineRule="auto"/>
        <w:ind w:left="431" w:hanging="431"/>
        <w:rPr>
          <w:rFonts w:cstheme="majorHAnsi"/>
          <w:sz w:val="22"/>
          <w:szCs w:val="22"/>
        </w:rPr>
      </w:pPr>
      <w:bookmarkStart w:id="3" w:name="_Ref24389196"/>
      <w:bookmarkStart w:id="4" w:name="_Toc27122097"/>
      <w:r w:rsidRPr="00CB0D1E">
        <w:rPr>
          <w:rFonts w:cstheme="majorHAnsi"/>
          <w:sz w:val="22"/>
          <w:szCs w:val="22"/>
        </w:rPr>
        <w:t>Zugang und Nutzung der Cloud-Services</w:t>
      </w:r>
      <w:bookmarkEnd w:id="3"/>
      <w:bookmarkEnd w:id="4"/>
    </w:p>
    <w:p w14:paraId="6CC87090"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Der Anbieter stellt die Cloud-Services sowie die für die Nutzung benötigte Soft- und Hardwareinfrastruktur am Leistungsübergabepunkt zur Nutzung bereit (inkl. Client-Software) und übergibt dem Kunden die erforderlichen Zugangsdaten. Für die Telekommunikationsverbindung zum Leistungsübergabepunkt ist der Kunde verantwortlich, wobei der Anbieter die Verbindung mit HTTPS, VPN oder gleichwertiger Technologie sichert. Ohne anderweitige Vereinbarung benötigt der Kunde für die Nutzung nur einen Webbrowser mit Internetanbindung.</w:t>
      </w:r>
    </w:p>
    <w:p w14:paraId="60933740"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 xml:space="preserve">Der Anbieter stellt eine aktuelle, vollständige und editierbare Anwenderdokumentation bereit, die der Kunde für den vertragsgemässen Gebrauch nutzen, kopieren und editieren darf. </w:t>
      </w:r>
    </w:p>
    <w:p w14:paraId="0ABB84AB" w14:textId="77777777" w:rsidR="00CB0D1E" w:rsidRPr="00CB0D1E" w:rsidRDefault="00CB0D1E" w:rsidP="00FC0BC6">
      <w:pPr>
        <w:pStyle w:val="berschrift1"/>
        <w:keepLines w:val="0"/>
        <w:numPr>
          <w:ilvl w:val="0"/>
          <w:numId w:val="19"/>
        </w:numPr>
        <w:spacing w:before="360" w:after="120" w:line="276" w:lineRule="auto"/>
        <w:ind w:left="431" w:hanging="431"/>
        <w:rPr>
          <w:rFonts w:cstheme="majorHAnsi"/>
          <w:sz w:val="22"/>
          <w:szCs w:val="22"/>
        </w:rPr>
      </w:pPr>
      <w:bookmarkStart w:id="5" w:name="_Toc27122098"/>
      <w:r w:rsidRPr="00CB0D1E">
        <w:rPr>
          <w:rFonts w:cstheme="majorHAnsi"/>
          <w:sz w:val="22"/>
          <w:szCs w:val="22"/>
        </w:rPr>
        <w:t>Einstellungen, Wartung und Pflege</w:t>
      </w:r>
      <w:bookmarkEnd w:id="5"/>
    </w:p>
    <w:p w14:paraId="56DD559B" w14:textId="489EF8E5"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Der Anbieter wartet und pflegt die Cloud-Services (inkl. der Soft- und Hardwareinfrastruktur) während der Vertragslaufzeit, mindestens jedoch für drei Jahre ab Vertragsschluss.</w:t>
      </w:r>
      <w:r w:rsidR="00690D0A">
        <w:rPr>
          <w:rFonts w:cstheme="majorHAnsi"/>
          <w:b w:val="0"/>
          <w:sz w:val="22"/>
          <w:szCs w:val="22"/>
        </w:rPr>
        <w:t xml:space="preserve"> Er setzt im Rahmen des standard</w:t>
      </w:r>
      <w:r w:rsidRPr="00CB0D1E">
        <w:rPr>
          <w:rFonts w:cstheme="majorHAnsi"/>
          <w:b w:val="0"/>
          <w:sz w:val="22"/>
          <w:szCs w:val="22"/>
        </w:rPr>
        <w:t>mässig bereitgestellten Konfigurationsumfangs Einstellungswünsche des Kunden zeitnah um.</w:t>
      </w:r>
    </w:p>
    <w:p w14:paraId="042A1213"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lastRenderedPageBreak/>
        <w:t xml:space="preserve">Die Wartung umfasst (i) die Behebung von Störungen; (ii) die Wiederherstellung von Gebrauchs- und Betriebstüchtigkeit; (iii) Ersatz und Umgehung schadhafter Elemente; (iv) die Implementierungen von Verbesserungen ohne Funktionalitätserweiterungen sowie (v) vorbeugende Wartungen zur Aufrechterhaltung der Betriebstüchtigkeit, sobald dies gemäss Lieferant oder Stand der Technik angezeigt ist (z.B. sofortige Behebung von Sicherheitslücken durch Patches und Updates). </w:t>
      </w:r>
    </w:p>
    <w:p w14:paraId="5D04128E"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Die Pflege umfasst Anpassungen und Weiterentwicklungen der Cloud-Services im Rahmen der Release-Roadmap des Anbieters. Eine Funktionserweiterung kann gesondert kostenpflichtig sein, soweit der Anbieter dies vorgängig schriftlich mitteilt und die Erweiterung nicht bestehende Funktionen ersetzt.</w:t>
      </w:r>
    </w:p>
    <w:p w14:paraId="0048BF83"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Der Anbieter kann für Wartungs- und Pflegeleistungen die Verfügbarkeit des Cloud-Services einschränken. Solche Einschränkungen sind mindestens 10 Arbeitstage im Voraus anzukünden und müssen ausserhalb der Geschäftszeiten des Kunden erfolgen. Für dringende Wartungsarbeiten und Störungsbehebungen kann der Anbieter den Cloud-Service jederzeit und ohne Ankündigung für kurze Zeit einschränken. Er hat jedoch alles Zumutbare zu unternehmen, dass solche Einschränkungen unterbleiben.</w:t>
      </w:r>
    </w:p>
    <w:p w14:paraId="01E7A39D" w14:textId="77777777" w:rsidR="00CB0D1E" w:rsidRPr="00CB0D1E" w:rsidRDefault="00CB0D1E" w:rsidP="00FC0BC6">
      <w:pPr>
        <w:pStyle w:val="berschrift1"/>
        <w:keepLines w:val="0"/>
        <w:numPr>
          <w:ilvl w:val="0"/>
          <w:numId w:val="19"/>
        </w:numPr>
        <w:spacing w:before="360" w:after="120" w:line="276" w:lineRule="auto"/>
        <w:ind w:left="431" w:hanging="431"/>
        <w:rPr>
          <w:rFonts w:cstheme="majorHAnsi"/>
          <w:sz w:val="22"/>
          <w:szCs w:val="22"/>
        </w:rPr>
      </w:pPr>
      <w:bookmarkStart w:id="6" w:name="_Toc27122099"/>
      <w:r w:rsidRPr="00CB0D1E">
        <w:rPr>
          <w:rFonts w:cstheme="majorHAnsi"/>
          <w:sz w:val="22"/>
          <w:szCs w:val="22"/>
        </w:rPr>
        <w:t>Nutzungseinschränkungen und andere Mängel</w:t>
      </w:r>
      <w:bookmarkEnd w:id="6"/>
    </w:p>
    <w:p w14:paraId="2E7C7928"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 xml:space="preserve">Funktionsstörungen, ungeplante Einschränkungen und Unterbrüche oder andere Mängel an den Cloud-Services sind auch bei höchster Sorgfalt nicht gänzlich ausgeschlossen. Der Anbieter verpflichtet sich jedoch, alle zumutbaren und branchenüblichen Anstrengungen vorzunehmen, um das Auftreten von Funktionsstörungen, ungeplante Einschränkungen und Unterbrüche oder andere Mängel zu vermeiden. </w:t>
      </w:r>
    </w:p>
    <w:p w14:paraId="7840C171"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Der Kunde wird Funktionsstörungen, ungeplante Einschränkungen und Unterbrüche oder andere Mängel umgehend dem Anbieter mitteilen. Der Anbieter stellt angemessene personelle Ressourcen bereit, um diese Mängel unverzüglich oder innert der vereinbarten Frist beheben zu können. Zudem wird er transparent und zeitnah über Ursache und Dauer des Mangels informieren.</w:t>
      </w:r>
    </w:p>
    <w:p w14:paraId="674A08C4" w14:textId="77777777" w:rsidR="00CB0D1E" w:rsidRPr="00CB0D1E" w:rsidRDefault="00CB0D1E" w:rsidP="00FC0BC6">
      <w:pPr>
        <w:pStyle w:val="berschrift1"/>
        <w:keepLines w:val="0"/>
        <w:numPr>
          <w:ilvl w:val="0"/>
          <w:numId w:val="19"/>
        </w:numPr>
        <w:spacing w:before="360" w:after="120" w:line="276" w:lineRule="auto"/>
        <w:ind w:left="431" w:hanging="431"/>
        <w:rPr>
          <w:rFonts w:cstheme="majorHAnsi"/>
          <w:sz w:val="22"/>
          <w:szCs w:val="22"/>
        </w:rPr>
      </w:pPr>
      <w:bookmarkStart w:id="7" w:name="_Toc27122100"/>
      <w:r w:rsidRPr="00CB0D1E">
        <w:rPr>
          <w:rFonts w:cstheme="majorHAnsi"/>
          <w:sz w:val="22"/>
          <w:szCs w:val="22"/>
        </w:rPr>
        <w:t>Leistungsänderungen</w:t>
      </w:r>
      <w:bookmarkEnd w:id="7"/>
    </w:p>
    <w:p w14:paraId="1E3F416A"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 xml:space="preserve">Der Anbieter kann mit einer Ankündigungsfrist von 30 Tagen und unter Gewährleistung von Kompatibilität und Funktionserhalt: </w:t>
      </w:r>
    </w:p>
    <w:p w14:paraId="7BBD3CCC" w14:textId="77777777" w:rsidR="00CB0D1E" w:rsidRPr="00CB0D1E" w:rsidRDefault="00CB0D1E"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rPr>
      </w:pPr>
      <w:r w:rsidRPr="00CB0D1E">
        <w:rPr>
          <w:rFonts w:asciiTheme="majorHAnsi" w:hAnsiTheme="majorHAnsi" w:cstheme="majorHAnsi"/>
        </w:rPr>
        <w:t xml:space="preserve">Neue Technologien und Konfigurationen implementieren; </w:t>
      </w:r>
    </w:p>
    <w:p w14:paraId="25D24E47" w14:textId="77777777" w:rsidR="00CB0D1E" w:rsidRPr="00CB0D1E" w:rsidRDefault="00CB0D1E"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rPr>
      </w:pPr>
      <w:r w:rsidRPr="00CB0D1E">
        <w:rPr>
          <w:rFonts w:asciiTheme="majorHAnsi" w:hAnsiTheme="majorHAnsi" w:cstheme="majorHAnsi"/>
        </w:rPr>
        <w:t xml:space="preserve">Verfahren für die Bereitstellung des Cloud-Services ändern; </w:t>
      </w:r>
    </w:p>
    <w:p w14:paraId="1011D07D" w14:textId="77777777" w:rsidR="00CB0D1E" w:rsidRPr="00CB0D1E" w:rsidRDefault="00CB0D1E"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rPr>
      </w:pPr>
      <w:r w:rsidRPr="00CB0D1E">
        <w:rPr>
          <w:rFonts w:asciiTheme="majorHAnsi" w:hAnsiTheme="majorHAnsi" w:cstheme="majorHAnsi"/>
        </w:rPr>
        <w:t xml:space="preserve">Support- und Wartungsleistungen auf aktuelle Release-Stände beschränken (unter Beachtung einer angemessenen Übergangsfrist); sowie </w:t>
      </w:r>
    </w:p>
    <w:p w14:paraId="167804F5" w14:textId="77777777" w:rsidR="00CB0D1E" w:rsidRPr="00CB0D1E" w:rsidRDefault="00CB0D1E"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rPr>
      </w:pPr>
      <w:r w:rsidRPr="00CB0D1E">
        <w:rPr>
          <w:rFonts w:asciiTheme="majorHAnsi" w:hAnsiTheme="majorHAnsi" w:cstheme="majorHAnsi"/>
        </w:rPr>
        <w:t xml:space="preserve">Unwesentliche Änderungen an Spezifikationen und Nutzungsbedingungen vornehmen. </w:t>
      </w:r>
    </w:p>
    <w:p w14:paraId="1562F1AA"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 xml:space="preserve">Andere aus technischen oder wirtschaftlichen Gründen angezeigte Änderungen kann der Anbieter unter Gewährleistung von Kompatibilität und Funktionserhalt mit einer Ankündigungsfrist von drei Monaten umsetzen. Der Anbieter orientiert stets vorgängig und detailliert über alle Änderungen und deren Auswirkungen. </w:t>
      </w:r>
    </w:p>
    <w:p w14:paraId="0FDDC540" w14:textId="77777777" w:rsidR="00CB0D1E" w:rsidRPr="00CB0D1E" w:rsidRDefault="00CB0D1E" w:rsidP="00FC0BC6">
      <w:pPr>
        <w:pStyle w:val="berschrift1"/>
        <w:keepLines w:val="0"/>
        <w:numPr>
          <w:ilvl w:val="0"/>
          <w:numId w:val="19"/>
        </w:numPr>
        <w:spacing w:before="360" w:after="120" w:line="276" w:lineRule="auto"/>
        <w:ind w:left="431" w:hanging="431"/>
        <w:rPr>
          <w:rFonts w:cstheme="majorHAnsi"/>
          <w:sz w:val="22"/>
          <w:szCs w:val="22"/>
        </w:rPr>
      </w:pPr>
      <w:bookmarkStart w:id="8" w:name="_Toc27122101"/>
      <w:r w:rsidRPr="00CB0D1E">
        <w:rPr>
          <w:rFonts w:cstheme="majorHAnsi"/>
          <w:sz w:val="22"/>
          <w:szCs w:val="22"/>
        </w:rPr>
        <w:t>Lizenz- und Nutzungsbedingungen</w:t>
      </w:r>
      <w:bookmarkEnd w:id="8"/>
    </w:p>
    <w:p w14:paraId="49E4EE75"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 xml:space="preserve">Der Anbieter ist für die Lizenzierung aller für die Bereitstellung des Cloud-Services erforderlichen Soft- und Hardware verantwortlich und stellt das weltweite, nicht-exklusive Recht zur Nutzung der </w:t>
      </w:r>
      <w:r w:rsidRPr="00CB0D1E">
        <w:rPr>
          <w:rFonts w:cstheme="majorHAnsi"/>
          <w:b w:val="0"/>
          <w:sz w:val="22"/>
          <w:szCs w:val="22"/>
        </w:rPr>
        <w:lastRenderedPageBreak/>
        <w:t>Cloud-Services für eigene betriebliche Zwecke des Kunden gemäss diesem Vertrag sicher. Dies umfasst insbesondere auch die gleichzeitige oder konsekutive Nutzung durch den Kunden und seine Angestellten, Vertreter oder Dienstleister, soweit diese für den Kunden tätig werden. Ohne explizite Beschränkung (z.B. Anzahl Nutzer, Instanzen usw.) ist der Nutzungsumfang unbeschränkt. Überschreitet der Kunde eine allenfalls vereinbarte Nutzungsbeschränkung, leistet er hierfür eine zusätzliche Vergütung gemäss vereinbarter Preismetrik und Preistabelle.</w:t>
      </w:r>
    </w:p>
    <w:p w14:paraId="6E9CDFE8"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 xml:space="preserve">Der Kunde ist verantwortlich für die Daten, die er bei der Nutzung des Cloud-Services bearbeitet. Er hält sich dabei an die Schweizer Gesetze und unterlässt insbesondere auch die Speicherung oder Verbreitung unsittlicher oder rechtswidriger Inhalte und schädlichem Programmcode (sog. Malware). Der Kunde darf keine über die bereitgestellten Konfigurationsmöglichkeiten hinausgehenden Änderungen an den Cloud-Services vornehmen. Er darf die betreffende Software insbesondere nicht kopieren, zurückentwickeln oder auf andere Weise unbefugt verwerten. Bei begründetem Verdacht kann der Anbieter die Nutzung des Kunden überwachen und bei Verstössen schriftlich die Suspendierung des betreffenden Cloud-Services androhen, falls die unzulässige Nutzung nicht innert 10 Arbeitstagen eingestellt wird. </w:t>
      </w:r>
    </w:p>
    <w:p w14:paraId="1346CC95" w14:textId="77777777" w:rsidR="00CB0D1E" w:rsidRPr="00CB0D1E" w:rsidRDefault="00CB0D1E" w:rsidP="00FC0BC6">
      <w:pPr>
        <w:pStyle w:val="berschrift1"/>
        <w:keepLines w:val="0"/>
        <w:numPr>
          <w:ilvl w:val="0"/>
          <w:numId w:val="19"/>
        </w:numPr>
        <w:spacing w:before="360" w:after="120" w:line="276" w:lineRule="auto"/>
        <w:ind w:left="431" w:hanging="431"/>
        <w:rPr>
          <w:rFonts w:cstheme="majorHAnsi"/>
          <w:sz w:val="22"/>
          <w:szCs w:val="22"/>
        </w:rPr>
      </w:pPr>
      <w:bookmarkStart w:id="9" w:name="_Toc27122102"/>
      <w:r w:rsidRPr="00CB0D1E">
        <w:rPr>
          <w:rFonts w:cstheme="majorHAnsi"/>
          <w:sz w:val="22"/>
          <w:szCs w:val="22"/>
        </w:rPr>
        <w:t>Vertraulichkeit und Berufsgeheimnis</w:t>
      </w:r>
      <w:bookmarkEnd w:id="9"/>
    </w:p>
    <w:p w14:paraId="1E232900"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Der Kunde bearbeitet mit den Cloud-Services Informationen, die dem Berufsgeheimnis gemäss Art. 320 f. StGB unterliegen. Alle Nutzerdaten sind vertraulich, ausser sie sind nachweislich und zweifelsfrei:</w:t>
      </w:r>
    </w:p>
    <w:p w14:paraId="45E8B9AB" w14:textId="77777777" w:rsidR="00CB0D1E" w:rsidRPr="00CB0D1E" w:rsidRDefault="00CB0D1E"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rPr>
      </w:pPr>
      <w:r w:rsidRPr="00CB0D1E">
        <w:rPr>
          <w:rFonts w:asciiTheme="majorHAnsi" w:hAnsiTheme="majorHAnsi" w:cstheme="majorHAnsi"/>
        </w:rPr>
        <w:t xml:space="preserve">vor Offenlegung (oder danach ohne Zutun des Anbieters) in die Öffentlichkeit gelangt; </w:t>
      </w:r>
    </w:p>
    <w:p w14:paraId="0C27B8B4" w14:textId="77777777" w:rsidR="00CB0D1E" w:rsidRPr="00CB0D1E" w:rsidRDefault="00CB0D1E"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rPr>
      </w:pPr>
      <w:r w:rsidRPr="00CB0D1E">
        <w:rPr>
          <w:rFonts w:asciiTheme="majorHAnsi" w:hAnsiTheme="majorHAnsi" w:cstheme="majorHAnsi"/>
        </w:rPr>
        <w:t xml:space="preserve">dem Anbieter bereits bekannt oder werden ihm ohne Vertragsverletzung zugänglich; oder </w:t>
      </w:r>
    </w:p>
    <w:p w14:paraId="6AE59439" w14:textId="77777777" w:rsidR="00CB0D1E" w:rsidRPr="00CB0D1E" w:rsidRDefault="00CB0D1E"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rPr>
      </w:pPr>
      <w:r w:rsidRPr="00CB0D1E">
        <w:rPr>
          <w:rFonts w:asciiTheme="majorHAnsi" w:hAnsiTheme="majorHAnsi" w:cstheme="majorHAnsi"/>
        </w:rPr>
        <w:t>nach Gesetz, Verordnung oder von Gerichts wegen offenzulegen.</w:t>
      </w:r>
    </w:p>
    <w:p w14:paraId="04744FD0"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 xml:space="preserve">Der Anbieter macht Nutzerdaten seinen Mitarbeitenden und Dritten nur soweit zwingend erforderlich zugänglich. Er stellt dabei sicher, dass Nutzerdaten auch von diesen Personen geheim gehalten und nur zur Vertragserfüllung verwendet werden. Er überbindet ihnen schriftlich die Strafbestimmungen über das Berufsgeheimnis (Art. 320 f. StGB) und überprüft regelmässig ihren Leumund. </w:t>
      </w:r>
    </w:p>
    <w:p w14:paraId="7D2690D6"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 xml:space="preserve">Ohne anderweitige explizite Vereinbarung müssen alle Bearbeitungen von Nutzerdaten durch den Anbieter oder Dritte in der Schweiz, in der EU oder im EWR erfolgen. Bei Bearbeitungen von Nutzerdaten ausserhalb der Schweiz garantiert der Anbieter in jedem Fall die Einhaltung der geltenden Schweizer Gesetze. Auf Anfrage händigt der Anbieter dem Kunden sowie den Aufsichtsbehörden innert 30 Tagen sämtliche zur Überprüfung dieser Vertragspflicht zweckdienlichen Unterlagen aus. Diese Vertraulichkeitspflichten gelten über die Vertragsbeendigung hinaus weiter. </w:t>
      </w:r>
    </w:p>
    <w:p w14:paraId="4B8F5D60" w14:textId="77777777" w:rsidR="00CB0D1E" w:rsidRPr="00CB0D1E" w:rsidRDefault="00CB0D1E" w:rsidP="00FC0BC6">
      <w:pPr>
        <w:pStyle w:val="berschrift1"/>
        <w:keepLines w:val="0"/>
        <w:numPr>
          <w:ilvl w:val="0"/>
          <w:numId w:val="19"/>
        </w:numPr>
        <w:spacing w:before="360" w:after="120" w:line="276" w:lineRule="auto"/>
        <w:ind w:left="431" w:hanging="431"/>
        <w:rPr>
          <w:rFonts w:cstheme="majorHAnsi"/>
          <w:sz w:val="22"/>
          <w:szCs w:val="22"/>
        </w:rPr>
      </w:pPr>
      <w:bookmarkStart w:id="10" w:name="_Toc27122103"/>
      <w:r w:rsidRPr="00CB0D1E">
        <w:rPr>
          <w:rFonts w:cstheme="majorHAnsi"/>
          <w:sz w:val="22"/>
          <w:szCs w:val="22"/>
        </w:rPr>
        <w:t>Datenschutzvorgaben</w:t>
      </w:r>
      <w:bookmarkEnd w:id="10"/>
    </w:p>
    <w:p w14:paraId="55FDFAA0" w14:textId="672F8261" w:rsidR="00CB0D1E" w:rsidRPr="00CB0D1E" w:rsidRDefault="00CB0D1E" w:rsidP="00FC0BC6">
      <w:pPr>
        <w:pStyle w:val="berschrift2"/>
        <w:keepNext w:val="0"/>
        <w:keepLines w:val="0"/>
        <w:numPr>
          <w:ilvl w:val="1"/>
          <w:numId w:val="19"/>
        </w:numPr>
        <w:tabs>
          <w:tab w:val="left" w:pos="426"/>
        </w:tabs>
        <w:spacing w:after="0" w:line="276" w:lineRule="auto"/>
        <w:ind w:left="0" w:firstLine="0"/>
        <w:jc w:val="both"/>
        <w:rPr>
          <w:rFonts w:cstheme="majorHAnsi"/>
          <w:b w:val="0"/>
          <w:sz w:val="22"/>
          <w:szCs w:val="22"/>
        </w:rPr>
      </w:pPr>
      <w:r w:rsidRPr="00CB0D1E">
        <w:rPr>
          <w:rFonts w:cstheme="majorHAnsi"/>
          <w:b w:val="0"/>
          <w:sz w:val="22"/>
          <w:szCs w:val="22"/>
        </w:rPr>
        <w:t xml:space="preserve">Der Kunde wird mit den Cloud-Services besonders schützenswerte Personendaten bearbeiten. Der Anbieter stellt entsprechend sicher, dass die Cloud-Services alle Vorgaben gemäss Gesetz, den Aufsichtsbehörden sowie der </w:t>
      </w:r>
      <w:r w:rsidR="00B344C6">
        <w:rPr>
          <w:rFonts w:cstheme="majorHAnsi"/>
          <w:b w:val="0"/>
          <w:sz w:val="22"/>
          <w:szCs w:val="22"/>
        </w:rPr>
        <w:t>Auftragsverarbeitungs</w:t>
      </w:r>
      <w:r w:rsidRPr="00CB0D1E">
        <w:rPr>
          <w:rFonts w:cstheme="majorHAnsi"/>
          <w:b w:val="0"/>
          <w:sz w:val="22"/>
          <w:szCs w:val="22"/>
        </w:rPr>
        <w:t xml:space="preserve">vereinbarung gemäss </w:t>
      </w:r>
      <w:r w:rsidRPr="00B344C6">
        <w:rPr>
          <w:rFonts w:cstheme="majorHAnsi"/>
          <w:b w:val="0"/>
          <w:sz w:val="22"/>
          <w:szCs w:val="22"/>
        </w:rPr>
        <w:t>Anhang 1</w:t>
      </w:r>
      <w:r w:rsidRPr="00CB0D1E">
        <w:rPr>
          <w:rFonts w:cstheme="majorHAnsi"/>
          <w:b w:val="0"/>
          <w:sz w:val="22"/>
          <w:szCs w:val="22"/>
        </w:rPr>
        <w:t xml:space="preserve"> erfüllen. </w:t>
      </w:r>
    </w:p>
    <w:p w14:paraId="0B84A24C" w14:textId="77777777" w:rsidR="00CB0D1E" w:rsidRPr="00CB0D1E" w:rsidRDefault="00CB0D1E" w:rsidP="00FC0BC6">
      <w:pPr>
        <w:pStyle w:val="berschrift2"/>
        <w:keepNext w:val="0"/>
        <w:keepLines w:val="0"/>
        <w:numPr>
          <w:ilvl w:val="1"/>
          <w:numId w:val="19"/>
        </w:numPr>
        <w:tabs>
          <w:tab w:val="left" w:pos="426"/>
        </w:tabs>
        <w:spacing w:after="0" w:line="276" w:lineRule="auto"/>
        <w:ind w:left="0" w:firstLine="0"/>
        <w:jc w:val="both"/>
        <w:rPr>
          <w:rFonts w:cstheme="majorHAnsi"/>
          <w:b w:val="0"/>
          <w:sz w:val="22"/>
          <w:szCs w:val="22"/>
        </w:rPr>
      </w:pPr>
      <w:r w:rsidRPr="00CB0D1E">
        <w:rPr>
          <w:rFonts w:cstheme="majorHAnsi"/>
          <w:b w:val="0"/>
          <w:sz w:val="22"/>
          <w:szCs w:val="22"/>
        </w:rPr>
        <w:t>Der Anbieter unterbreitet dem Kunden zur Erarbeitung der Datenschutz-Folgeabschätzung (gemäss Art. 35 DSGVO) einen Massnahmenkatalog, welcher der Kunde zur Umsetzung durch den Anbieter festlegen kann.</w:t>
      </w:r>
    </w:p>
    <w:p w14:paraId="7A52ECBC" w14:textId="77777777" w:rsidR="00CB0D1E" w:rsidRPr="00CB0D1E" w:rsidRDefault="00CB0D1E" w:rsidP="00FC0BC6">
      <w:pPr>
        <w:pStyle w:val="berschrift1"/>
        <w:keepLines w:val="0"/>
        <w:numPr>
          <w:ilvl w:val="0"/>
          <w:numId w:val="19"/>
        </w:numPr>
        <w:spacing w:before="360" w:after="120" w:line="276" w:lineRule="auto"/>
        <w:ind w:left="431" w:hanging="431"/>
        <w:rPr>
          <w:rFonts w:cstheme="majorHAnsi"/>
          <w:sz w:val="22"/>
          <w:szCs w:val="22"/>
        </w:rPr>
      </w:pPr>
      <w:bookmarkStart w:id="11" w:name="_Toc27122104"/>
      <w:r w:rsidRPr="00CB0D1E">
        <w:rPr>
          <w:rFonts w:cstheme="majorHAnsi"/>
          <w:sz w:val="22"/>
          <w:szCs w:val="22"/>
        </w:rPr>
        <w:lastRenderedPageBreak/>
        <w:t>Sicherheits- und Überwachungsmassnahmen</w:t>
      </w:r>
      <w:bookmarkEnd w:id="11"/>
    </w:p>
    <w:p w14:paraId="5A50F22A"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 xml:space="preserve">Der Anbieter ergreift alle nach Stand der Technik zumutbaren technischen, personellen und organisatorischen Sicherheitsmassnahmen (z.B. der Firewalls, Schutz vor Schadprogrammen, Zutrittsrichtlinien, Zugriffsvorgaben auf Systeme und Daten usw.), um die Vertraulichkeit, Verfügbarkeit und Integrität der Nutzerdaten sowie die Belastbarkeit des Cloud-Services sicherzustellen und sorgt mit schriftlichen Verträgen mit allen beigezogenen Dritten dafür, dass alle Massnahmen auch von diesen umgesetzt werden. </w:t>
      </w:r>
    </w:p>
    <w:p w14:paraId="6E67177C"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 xml:space="preserve">Der Anbieter hält mindestens die Sicherheitsempfehlungen gemäss </w:t>
      </w:r>
      <w:r w:rsidRPr="00645E44">
        <w:rPr>
          <w:rFonts w:cstheme="majorHAnsi"/>
          <w:b w:val="0"/>
          <w:sz w:val="22"/>
          <w:szCs w:val="22"/>
        </w:rPr>
        <w:t xml:space="preserve">Anhang 2 ein </w:t>
      </w:r>
      <w:r w:rsidRPr="00CB0D1E">
        <w:rPr>
          <w:rFonts w:cstheme="majorHAnsi"/>
          <w:b w:val="0"/>
          <w:sz w:val="22"/>
          <w:szCs w:val="22"/>
        </w:rPr>
        <w:t>und setzt Sicherheitsempfehlungen der Softwarehersteller umgehend um. Er verlangt intern und extern sichere Passwörter nach Stand der Technik und richtet auf Anfrage eine Multifaktorenautorisierung ein. Er protokolliert alle Zugriffe auf Nutzerdaten und legt dem Kunden auf Anfrage umgehend aktuelle Daten über die Zugriffe sowie die eingesetzten Sicherheits-Infrastrukturen (z.B. Firewall-Logs) vor.</w:t>
      </w:r>
    </w:p>
    <w:p w14:paraId="03FCF546"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Der Anbieter verfügt zudem über Verfahren zur regelmässigen Überprüfung der Wirksamkeit der Sicherheits- und Überwachungsmassnahmen und weist deren Einhaltung in geeigneter Weise nach.</w:t>
      </w:r>
    </w:p>
    <w:p w14:paraId="1A5A3069" w14:textId="69415862" w:rsidR="00CB0D1E" w:rsidRPr="00CB0D1E" w:rsidRDefault="00690D0A" w:rsidP="00FC0BC6">
      <w:pPr>
        <w:pStyle w:val="berschrift1"/>
        <w:keepLines w:val="0"/>
        <w:numPr>
          <w:ilvl w:val="0"/>
          <w:numId w:val="19"/>
        </w:numPr>
        <w:spacing w:before="360" w:after="120" w:line="276" w:lineRule="auto"/>
        <w:ind w:left="431" w:hanging="431"/>
        <w:rPr>
          <w:rFonts w:cstheme="majorHAnsi"/>
          <w:sz w:val="22"/>
          <w:szCs w:val="22"/>
        </w:rPr>
      </w:pPr>
      <w:bookmarkStart w:id="12" w:name="_Toc27122105"/>
      <w:r>
        <w:rPr>
          <w:rFonts w:cstheme="majorHAnsi"/>
          <w:sz w:val="22"/>
          <w:szCs w:val="22"/>
        </w:rPr>
        <w:t xml:space="preserve">Backup, </w:t>
      </w:r>
      <w:proofErr w:type="spellStart"/>
      <w:r>
        <w:rPr>
          <w:rFonts w:cstheme="majorHAnsi"/>
          <w:sz w:val="22"/>
          <w:szCs w:val="22"/>
        </w:rPr>
        <w:t>Di</w:t>
      </w:r>
      <w:r w:rsidR="00CB0D1E" w:rsidRPr="00CB0D1E">
        <w:rPr>
          <w:rFonts w:cstheme="majorHAnsi"/>
          <w:sz w:val="22"/>
          <w:szCs w:val="22"/>
        </w:rPr>
        <w:t>saster</w:t>
      </w:r>
      <w:proofErr w:type="spellEnd"/>
      <w:r w:rsidR="00CB0D1E" w:rsidRPr="00CB0D1E">
        <w:rPr>
          <w:rFonts w:cstheme="majorHAnsi"/>
          <w:sz w:val="22"/>
          <w:szCs w:val="22"/>
        </w:rPr>
        <w:t>-Recovery-Leistungen und Datenherausgabe</w:t>
      </w:r>
      <w:bookmarkEnd w:id="12"/>
    </w:p>
    <w:p w14:paraId="10FFE58B" w14:textId="53C618F6"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Der Anbieter sichert die Nutzerdaten mit branchenüblichen Backup-Services und Langzeit-Archivierungsfunktionen und st</w:t>
      </w:r>
      <w:r w:rsidR="00690D0A">
        <w:rPr>
          <w:rFonts w:cstheme="majorHAnsi"/>
          <w:b w:val="0"/>
          <w:sz w:val="22"/>
          <w:szCs w:val="22"/>
        </w:rPr>
        <w:t xml:space="preserve">ellt dem Kunden entsprechende </w:t>
      </w:r>
      <w:proofErr w:type="spellStart"/>
      <w:r w:rsidR="00690D0A">
        <w:rPr>
          <w:rFonts w:cstheme="majorHAnsi"/>
          <w:b w:val="0"/>
          <w:sz w:val="22"/>
          <w:szCs w:val="22"/>
        </w:rPr>
        <w:t>Di</w:t>
      </w:r>
      <w:r w:rsidRPr="00CB0D1E">
        <w:rPr>
          <w:rFonts w:cstheme="majorHAnsi"/>
          <w:b w:val="0"/>
          <w:sz w:val="22"/>
          <w:szCs w:val="22"/>
        </w:rPr>
        <w:t>saster</w:t>
      </w:r>
      <w:proofErr w:type="spellEnd"/>
      <w:r w:rsidRPr="00CB0D1E">
        <w:rPr>
          <w:rFonts w:cstheme="majorHAnsi"/>
          <w:b w:val="0"/>
          <w:sz w:val="22"/>
          <w:szCs w:val="22"/>
        </w:rPr>
        <w:t xml:space="preserve">-Recovery-Leistungen zur Verfügung. Er weist die Eigenschaften dieser Funktionen detailliert aus, wobei mindestens täglich ein Backup aller Nutzerdaten sowie ein Wiederherstellungspunkt (Recovery Point </w:t>
      </w:r>
      <w:proofErr w:type="spellStart"/>
      <w:r w:rsidRPr="00CB0D1E">
        <w:rPr>
          <w:rFonts w:cstheme="majorHAnsi"/>
          <w:b w:val="0"/>
          <w:sz w:val="22"/>
          <w:szCs w:val="22"/>
        </w:rPr>
        <w:t>Objective</w:t>
      </w:r>
      <w:proofErr w:type="spellEnd"/>
      <w:r w:rsidRPr="00CB0D1E">
        <w:rPr>
          <w:rFonts w:cstheme="majorHAnsi"/>
          <w:b w:val="0"/>
          <w:sz w:val="22"/>
          <w:szCs w:val="22"/>
        </w:rPr>
        <w:t xml:space="preserve">, RPO) zu erstellen </w:t>
      </w:r>
      <w:r w:rsidR="00690D0A">
        <w:rPr>
          <w:rFonts w:cstheme="majorHAnsi"/>
          <w:b w:val="0"/>
          <w:sz w:val="22"/>
          <w:szCs w:val="22"/>
        </w:rPr>
        <w:t>sind</w:t>
      </w:r>
      <w:r w:rsidRPr="00CB0D1E">
        <w:rPr>
          <w:rFonts w:cstheme="majorHAnsi"/>
          <w:b w:val="0"/>
          <w:sz w:val="22"/>
          <w:szCs w:val="22"/>
        </w:rPr>
        <w:t xml:space="preserve">. Bei Datenverlust wird der Anbieter innert 24 Stunden (Recovery Time </w:t>
      </w:r>
      <w:proofErr w:type="spellStart"/>
      <w:r w:rsidRPr="00CB0D1E">
        <w:rPr>
          <w:rFonts w:cstheme="majorHAnsi"/>
          <w:b w:val="0"/>
          <w:sz w:val="22"/>
          <w:szCs w:val="22"/>
        </w:rPr>
        <w:t>Objective</w:t>
      </w:r>
      <w:proofErr w:type="spellEnd"/>
      <w:r w:rsidRPr="00CB0D1E">
        <w:rPr>
          <w:rFonts w:cstheme="majorHAnsi"/>
          <w:b w:val="0"/>
          <w:sz w:val="22"/>
          <w:szCs w:val="22"/>
        </w:rPr>
        <w:t>, RTO) die Nutzerdaten auf der Grundlage des letzten Backups bzw. Wiederherstellungspunkts wiederherstellen. Falls der Anbieter diese Funktionen nicht anbietet, muss er den Kunden schriftlich darauf hinweisen und ihn bei der Implementierung solcher Funktionen aktiv unterstützen.</w:t>
      </w:r>
    </w:p>
    <w:p w14:paraId="4415BE38"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Der Anbieter stellt dem Kunden auf Anfrage und gegen angemessene Aufwandentschädigung alle Nutzerdaten umgehend in einem Standardformat so zur Verfügung, dass die Daten möglichst ohne Verluste und unter Erhalt der Datenstruktur und Logik in eine neue Applikation überführt werden können.</w:t>
      </w:r>
    </w:p>
    <w:p w14:paraId="112F3114" w14:textId="77777777" w:rsidR="00CB0D1E" w:rsidRPr="00CB0D1E" w:rsidRDefault="00CB0D1E" w:rsidP="00FC0BC6">
      <w:pPr>
        <w:pStyle w:val="berschrift1"/>
        <w:keepLines w:val="0"/>
        <w:numPr>
          <w:ilvl w:val="0"/>
          <w:numId w:val="19"/>
        </w:numPr>
        <w:spacing w:before="360" w:after="120" w:line="276" w:lineRule="auto"/>
        <w:ind w:left="431" w:hanging="431"/>
        <w:rPr>
          <w:rFonts w:cstheme="majorHAnsi"/>
          <w:sz w:val="22"/>
          <w:szCs w:val="22"/>
        </w:rPr>
      </w:pPr>
      <w:bookmarkStart w:id="13" w:name="_Toc27122106"/>
      <w:r w:rsidRPr="00CB0D1E">
        <w:rPr>
          <w:rFonts w:cstheme="majorHAnsi"/>
          <w:sz w:val="22"/>
          <w:szCs w:val="22"/>
        </w:rPr>
        <w:t>Informationspflichten und Auditrechte</w:t>
      </w:r>
      <w:bookmarkEnd w:id="13"/>
    </w:p>
    <w:p w14:paraId="5A7A91B9"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Der Anbieter informiert den Kunden umfassend über alle die Leistungserbringung gefährdenden Umstände. Bei sicherheits- und datenschutzrelevanten Vorfällen informiert er den Kunden spätestens innert 72 Stunden schriftlich. Erst später gewonnene Erkenntnisse liefert er umgehend nach. Er unterstützt den Kunden in der Aufarbeitung und stellt die ihm zugänglichen Unterlagen bereit. Es liegt anschliessend in der Verantwortung des Kunden, erforderliche Anzeigen an Datenschutz-, Strafverfolgungs- oder Aufsichtsbehörden zu veranlassen. Er informiert den Anbieter transparent über das geplante Vorgehen.</w:t>
      </w:r>
    </w:p>
    <w:p w14:paraId="2B354EA9"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Auf Verlangen des Kunden und unter Vorankündigung von 10 Arbeitstagen, gewährt der Anbieter den Aufsichtsbehörden, dem Kunden und seiner zur Vertraulichkeit verpflichteten Revisionsstelle Zugang zu Informationen und Infrastruktur, soweit dies zur Kontrolle der Datensicherheits- und Datenschutzverpflichtungen notwendig ist. Zudem kann der Kunde vom Anbieter einen detaillierten schriftlichen Bericht über die Einhaltung der Sicherheits- und Datenschutzverpflichtungen verlangen. Der Anbieter kann eine angemessene Aufwandentschädigung für Audits und Berichte in Rechnung stellen.</w:t>
      </w:r>
    </w:p>
    <w:p w14:paraId="371764D0" w14:textId="77777777" w:rsidR="00CB0D1E" w:rsidRPr="00CB0D1E" w:rsidRDefault="00CB0D1E" w:rsidP="00FC0BC6">
      <w:pPr>
        <w:pStyle w:val="berschrift1"/>
        <w:keepLines w:val="0"/>
        <w:numPr>
          <w:ilvl w:val="0"/>
          <w:numId w:val="19"/>
        </w:numPr>
        <w:spacing w:before="360" w:after="120" w:line="276" w:lineRule="auto"/>
        <w:ind w:left="431" w:hanging="431"/>
        <w:rPr>
          <w:rFonts w:cstheme="majorHAnsi"/>
          <w:sz w:val="22"/>
          <w:szCs w:val="22"/>
        </w:rPr>
      </w:pPr>
      <w:bookmarkStart w:id="14" w:name="_Toc27122107"/>
      <w:r w:rsidRPr="00CB0D1E">
        <w:rPr>
          <w:rFonts w:cstheme="majorHAnsi"/>
          <w:sz w:val="22"/>
          <w:szCs w:val="22"/>
        </w:rPr>
        <w:lastRenderedPageBreak/>
        <w:t>Vergütung und Zahlungsmodalitäten</w:t>
      </w:r>
      <w:bookmarkEnd w:id="14"/>
    </w:p>
    <w:p w14:paraId="17835AFA"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 xml:space="preserve">Der Kunde bezahlt für Leistungen des Anbieters eine Vergütung gemäss vereinbarter Preismetrik und Preistabelle (in CHF und exkl. MwSt.). Zusatzleistungen kann der Anbieter separat verrechnen, wenn er sie vorher offeriert und der Kunde die Offerte akzeptiert hat. Der Anbieter nimmt gewünschte Änderungen an der Nutzerzahl oder kostenpflichtigen Zusatzfunktionen umgehend vor und verrechnet die betreffenden Mehr- oder Mindernutzungen jeweils gemäss Nutzung bzw. pro </w:t>
      </w:r>
      <w:proofErr w:type="spellStart"/>
      <w:r w:rsidRPr="00CB0D1E">
        <w:rPr>
          <w:rFonts w:cstheme="majorHAnsi"/>
          <w:b w:val="0"/>
          <w:sz w:val="22"/>
          <w:szCs w:val="22"/>
        </w:rPr>
        <w:t>rata</w:t>
      </w:r>
      <w:proofErr w:type="spellEnd"/>
      <w:r w:rsidRPr="00CB0D1E">
        <w:rPr>
          <w:rFonts w:cstheme="majorHAnsi"/>
          <w:b w:val="0"/>
          <w:sz w:val="22"/>
          <w:szCs w:val="22"/>
        </w:rPr>
        <w:t xml:space="preserve"> temporis. </w:t>
      </w:r>
    </w:p>
    <w:p w14:paraId="2545F360"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Die vereinbarte Preismetrik und Preistabelle ist für 12 Monate ab Vertragsschluss unveränderlich. Anschliessend kann der Anbieter diese mit einer Vorankündigungsfrist von drei Monaten auf jeden Quartalsanfang verändern. Die Erhöhung beträgt pro Monat maximal 0.5% der ursprünglich vereinbarten Preismetrik und Preistabelle (d.h. maximal 6% pro Vertragsjahr).</w:t>
      </w:r>
    </w:p>
    <w:p w14:paraId="07967974"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Rechnungsbeträge sind 30 Tage netto ab Rechnungsdatum fällig. Ist der Kunde mit der Bezahlung geschuldeter Vergütungen in Verzug, stellt der Anbieter ihm schriftlich eine letzte Mahnung mit Zahlungsfrist von 20 Tagen unter Androhung der Leistungseinstellung zu. Die Sperrung der Cloud-Services ohne Mahnung und Frist ist unzulässig. Die Löschung von Nutzerdaten ist ohne schriftliche Anweisung des Kunden nicht gestattet. Im Weiteren richtet sich das Vorgehen nach den Beendigungsbestimmungen.</w:t>
      </w:r>
    </w:p>
    <w:p w14:paraId="32BE06DF" w14:textId="77777777" w:rsidR="00CB0D1E" w:rsidRPr="00CB0D1E" w:rsidRDefault="00CB0D1E" w:rsidP="00FC0BC6">
      <w:pPr>
        <w:pStyle w:val="berschrift1"/>
        <w:keepLines w:val="0"/>
        <w:numPr>
          <w:ilvl w:val="0"/>
          <w:numId w:val="19"/>
        </w:numPr>
        <w:spacing w:before="360" w:after="120" w:line="276" w:lineRule="auto"/>
        <w:ind w:left="431" w:hanging="431"/>
        <w:rPr>
          <w:rFonts w:cstheme="majorHAnsi"/>
          <w:sz w:val="22"/>
          <w:szCs w:val="22"/>
        </w:rPr>
      </w:pPr>
      <w:bookmarkStart w:id="15" w:name="_Toc27122108"/>
      <w:r w:rsidRPr="00CB0D1E">
        <w:rPr>
          <w:rFonts w:cstheme="majorHAnsi"/>
          <w:sz w:val="22"/>
          <w:szCs w:val="22"/>
        </w:rPr>
        <w:t>Gewährleistung und Haftung</w:t>
      </w:r>
      <w:bookmarkEnd w:id="15"/>
    </w:p>
    <w:p w14:paraId="3F1A6789"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 xml:space="preserve">Der Anbieter gewährleistet, dass </w:t>
      </w:r>
    </w:p>
    <w:p w14:paraId="7302DA64" w14:textId="77777777" w:rsidR="00CB0D1E" w:rsidRPr="00CB0D1E" w:rsidRDefault="00CB0D1E"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rPr>
      </w:pPr>
      <w:r w:rsidRPr="00CB0D1E">
        <w:rPr>
          <w:rFonts w:asciiTheme="majorHAnsi" w:hAnsiTheme="majorHAnsi" w:cstheme="majorHAnsi"/>
        </w:rPr>
        <w:t xml:space="preserve">er alle Leistungen sorgfältig und gemäss Kundenweisungen, anerkannten Methoden und aktuellen Standards erbringt; </w:t>
      </w:r>
    </w:p>
    <w:p w14:paraId="4F81368C" w14:textId="77777777" w:rsidR="00CB0D1E" w:rsidRPr="00CB0D1E" w:rsidRDefault="00CB0D1E"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rPr>
      </w:pPr>
      <w:r w:rsidRPr="00CB0D1E">
        <w:rPr>
          <w:rFonts w:asciiTheme="majorHAnsi" w:hAnsiTheme="majorHAnsi" w:cstheme="majorHAnsi"/>
        </w:rPr>
        <w:t xml:space="preserve">die Cloud-Services mängelfrei sind und die vereinbarten sowie nach Stand der Technik zu erwartenden Eigenschaften aufweisen; </w:t>
      </w:r>
    </w:p>
    <w:p w14:paraId="2B167B64" w14:textId="77777777" w:rsidR="00CB0D1E" w:rsidRPr="00CB0D1E" w:rsidRDefault="00CB0D1E"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rPr>
      </w:pPr>
      <w:r w:rsidRPr="00CB0D1E">
        <w:rPr>
          <w:rFonts w:asciiTheme="majorHAnsi" w:hAnsiTheme="majorHAnsi" w:cstheme="majorHAnsi"/>
        </w:rPr>
        <w:t xml:space="preserve">die Cloud-Services allen gesetzlichen und behördlichen Anforderungen für medizinische Nutzungen und Patientendaten entsprechen; </w:t>
      </w:r>
    </w:p>
    <w:p w14:paraId="18887FB3" w14:textId="77777777" w:rsidR="00CB0D1E" w:rsidRPr="00CB0D1E" w:rsidRDefault="00CB0D1E"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rPr>
      </w:pPr>
      <w:r w:rsidRPr="00CB0D1E">
        <w:rPr>
          <w:rFonts w:asciiTheme="majorHAnsi" w:hAnsiTheme="majorHAnsi" w:cstheme="majorHAnsi"/>
        </w:rPr>
        <w:t xml:space="preserve">er neue Vorgaben fristgerecht umsetzt und von Aufsichtsbehörden verlangte Bestätigungen oder Informationen auf Anfrage des Kunden umgehend bereitstellt. </w:t>
      </w:r>
    </w:p>
    <w:p w14:paraId="4797BDBC" w14:textId="77777777" w:rsidR="00CB0D1E" w:rsidRPr="00CB0D1E" w:rsidRDefault="00CB0D1E" w:rsidP="00FC0BC6">
      <w:pPr>
        <w:numPr>
          <w:ilvl w:val="0"/>
          <w:numId w:val="18"/>
        </w:numPr>
        <w:tabs>
          <w:tab w:val="left" w:pos="0"/>
          <w:tab w:val="left" w:pos="425"/>
          <w:tab w:val="left" w:pos="4962"/>
        </w:tabs>
        <w:spacing w:after="0" w:line="276" w:lineRule="auto"/>
        <w:ind w:left="425" w:hanging="425"/>
        <w:contextualSpacing/>
        <w:jc w:val="both"/>
        <w:outlineLvl w:val="1"/>
        <w:rPr>
          <w:rFonts w:asciiTheme="majorHAnsi" w:hAnsiTheme="majorHAnsi" w:cstheme="majorHAnsi"/>
        </w:rPr>
      </w:pPr>
      <w:r w:rsidRPr="00CB0D1E">
        <w:rPr>
          <w:rFonts w:asciiTheme="majorHAnsi" w:hAnsiTheme="majorHAnsi" w:cstheme="majorHAnsi"/>
        </w:rPr>
        <w:t>er die vereinbarten Leistungsparameter (sog. Key Performance Indikatoren) für die Cloud-Services (sog. Service Level Agreement) einhält.</w:t>
      </w:r>
    </w:p>
    <w:p w14:paraId="2356A89F"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Der Anbieter haftet für den von ihm oder den von ihm beigezogenen Dritten im Zusammenhang mit dem Vertragsverhältnis verursachten Schaden, wenn er nicht beweist, dass weder ihn noch die Dritten ein Verschulden trifft. Die Haftung des Kunden wird, soweit gesetzlich zulässig, wegbedungen. Die Haftung für vorsätzlich oder grob fahrlässig verursachte Schäden bleibt in jedem Fall vorbehalten.</w:t>
      </w:r>
    </w:p>
    <w:p w14:paraId="4E8F8EA3" w14:textId="77777777" w:rsidR="00CB0D1E" w:rsidRPr="00CB0D1E" w:rsidRDefault="00CB0D1E" w:rsidP="00FC0BC6">
      <w:pPr>
        <w:pStyle w:val="berschrift1"/>
        <w:keepLines w:val="0"/>
        <w:numPr>
          <w:ilvl w:val="0"/>
          <w:numId w:val="19"/>
        </w:numPr>
        <w:spacing w:before="360" w:after="120" w:line="276" w:lineRule="auto"/>
        <w:ind w:left="431" w:hanging="431"/>
        <w:rPr>
          <w:rFonts w:cstheme="majorHAnsi"/>
          <w:sz w:val="22"/>
          <w:szCs w:val="22"/>
        </w:rPr>
      </w:pPr>
      <w:bookmarkStart w:id="16" w:name="_Toc27122109"/>
      <w:r w:rsidRPr="00CB0D1E">
        <w:rPr>
          <w:rFonts w:cstheme="majorHAnsi"/>
          <w:sz w:val="22"/>
          <w:szCs w:val="22"/>
        </w:rPr>
        <w:t>Vertragsdauer und -beendigung</w:t>
      </w:r>
      <w:bookmarkEnd w:id="16"/>
    </w:p>
    <w:p w14:paraId="745FE9DD"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 xml:space="preserve">Der Vertrag tritt mit der Unterschrift durch beide Parteien, jedoch nicht vor Abschluss der (gemäss separater Vereinbarung allenfalls geschuldeten) Installation, Datenmigration und Erstkonfiguration des Cloud-Services. Der Vertrag ersetzt alle Verträge gleicher Art und gilt für unbestimmte Zeit. </w:t>
      </w:r>
    </w:p>
    <w:p w14:paraId="1E9BBDA5"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 xml:space="preserve">Der Vertrag kann vom Kunden mit einer Frist von 30 Tagen per Monatsende und vom Anbieter mit einer Frist von sechs Monaten zum Quartalsende gekündigt werden. </w:t>
      </w:r>
      <w:bookmarkStart w:id="17" w:name="_Toc446086431"/>
      <w:bookmarkStart w:id="18" w:name="_Toc445975057"/>
      <w:bookmarkStart w:id="19" w:name="_Toc445830460"/>
      <w:r w:rsidRPr="00CB0D1E">
        <w:rPr>
          <w:rFonts w:cstheme="majorHAnsi"/>
          <w:b w:val="0"/>
          <w:sz w:val="22"/>
          <w:szCs w:val="22"/>
        </w:rPr>
        <w:t>Aus wichtigen Gründen können die Parteien den Vertrag jederzeit unter Beachtung einer Kündigungsfrist von 30 Tagen ausseror</w:t>
      </w:r>
      <w:r w:rsidRPr="00CB0D1E">
        <w:rPr>
          <w:rFonts w:cstheme="majorHAnsi"/>
          <w:b w:val="0"/>
          <w:sz w:val="22"/>
          <w:szCs w:val="22"/>
        </w:rPr>
        <w:lastRenderedPageBreak/>
        <w:t>dentlich kündigen. Ein wichtiger Grund liegt z.B. vor, wenn die andere Partei eine wesentliche Vertragsbestimmung verletzt und die Verletzungen trotz schriftlicher Abmahnung nicht innert 10 Arbeitstagen behebt.</w:t>
      </w:r>
    </w:p>
    <w:p w14:paraId="57C72E3E" w14:textId="77777777" w:rsidR="00CB0D1E" w:rsidRPr="00CB0D1E" w:rsidRDefault="00CB0D1E" w:rsidP="00FC0BC6">
      <w:pPr>
        <w:pStyle w:val="berschrift1"/>
        <w:keepLines w:val="0"/>
        <w:numPr>
          <w:ilvl w:val="0"/>
          <w:numId w:val="19"/>
        </w:numPr>
        <w:spacing w:before="360" w:after="120" w:line="276" w:lineRule="auto"/>
        <w:ind w:left="431" w:hanging="431"/>
        <w:rPr>
          <w:rFonts w:eastAsiaTheme="minorHAnsi" w:cstheme="majorHAnsi"/>
          <w:sz w:val="22"/>
          <w:szCs w:val="22"/>
        </w:rPr>
      </w:pPr>
      <w:bookmarkStart w:id="20" w:name="_Toc508719287"/>
      <w:bookmarkStart w:id="21" w:name="_Toc27122110"/>
      <w:r w:rsidRPr="00CB0D1E">
        <w:rPr>
          <w:rFonts w:eastAsiaTheme="minorHAnsi" w:cstheme="majorHAnsi"/>
          <w:sz w:val="22"/>
          <w:szCs w:val="22"/>
        </w:rPr>
        <w:t>Folgen der Vertragsbeendigung</w:t>
      </w:r>
      <w:bookmarkEnd w:id="17"/>
      <w:bookmarkEnd w:id="18"/>
      <w:bookmarkEnd w:id="19"/>
      <w:bookmarkEnd w:id="20"/>
      <w:bookmarkEnd w:id="21"/>
    </w:p>
    <w:p w14:paraId="0F45EF6C"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 xml:space="preserve">Der Anbieter unterstützt die geordnete Leistungsbeendigung oder -übergabe und enthält sich obstruierender oder behindernder Verhaltensweisen. Er wird nach ordentlicher oder ausserordentlicher Kündigung umgehend einen detaillierten Plan für die Leistungsbeendigung oder -übergabe vorlegen. </w:t>
      </w:r>
    </w:p>
    <w:p w14:paraId="08FEAF1F"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 xml:space="preserve">Der Anbieter gibt dem Kunden gegen angemessene Aufwandentschädigung alle von ihm erhaltenen Daten unverzüglich oder gemäss Beendigungsplan zurück. Er wird insbesondere sämtliche Nutzerdaten in einem Standardformat so zur Verfügung stellen, dass diese möglichst ohne Verluste und unter Erhalt der Datenstruktur und Logik in eine neue Applikation überführt werden können. </w:t>
      </w:r>
    </w:p>
    <w:p w14:paraId="2D90E42C"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Soweit eine Rückgabe unmöglich ist, wird er die Daten unter Vorbehalt gesetzlicher Aufbewahrungspflichten in datenschutzkonformer Art und Weise löschen. Die Löschung erfolgt jedoch frühestens sechs Monate nach Vertragsende, sofern der Kunde dem Anbieter nicht innert dieser Frist mitteilt, dass die erhaltenen Daten unlesbar oder unvollständig sind. Der Anbieter bestätigt auf Anfrage schriftlich, dass er alle der Rückgabe- oder Löschungspflicht unterliegenden Daten retourniert bzw. gelöscht hat.</w:t>
      </w:r>
    </w:p>
    <w:p w14:paraId="2A8E3065" w14:textId="77777777" w:rsidR="00CB0D1E" w:rsidRPr="00CB0D1E" w:rsidRDefault="00CB0D1E" w:rsidP="00FC0BC6">
      <w:pPr>
        <w:pStyle w:val="berschrift1"/>
        <w:keepLines w:val="0"/>
        <w:numPr>
          <w:ilvl w:val="0"/>
          <w:numId w:val="19"/>
        </w:numPr>
        <w:spacing w:before="360" w:after="120" w:line="276" w:lineRule="auto"/>
        <w:ind w:left="431" w:hanging="431"/>
        <w:rPr>
          <w:rFonts w:cstheme="majorHAnsi"/>
          <w:sz w:val="22"/>
          <w:szCs w:val="22"/>
        </w:rPr>
      </w:pPr>
      <w:bookmarkStart w:id="22" w:name="_Toc27122111"/>
      <w:r w:rsidRPr="00CB0D1E">
        <w:rPr>
          <w:rFonts w:cstheme="majorHAnsi"/>
          <w:sz w:val="22"/>
          <w:szCs w:val="22"/>
        </w:rPr>
        <w:t>Schlussbestimmungen</w:t>
      </w:r>
      <w:bookmarkEnd w:id="22"/>
    </w:p>
    <w:p w14:paraId="2BE36650"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Der Vertrag und seine Anhänge regeln den Vertragsinhalt abschliessend. Vertragsanpassungen bedürfen der Schriftform. Auf dieses Formerfordernis kann nur schriftlich verzichtet werden. Dies schliesst insbesondere Vertragsänderungen durch sog. «</w:t>
      </w:r>
      <w:proofErr w:type="spellStart"/>
      <w:r w:rsidRPr="00CB0D1E">
        <w:rPr>
          <w:rFonts w:cstheme="majorHAnsi"/>
          <w:b w:val="0"/>
          <w:sz w:val="22"/>
          <w:szCs w:val="22"/>
        </w:rPr>
        <w:t>Shrink</w:t>
      </w:r>
      <w:proofErr w:type="spellEnd"/>
      <w:r w:rsidRPr="00CB0D1E">
        <w:rPr>
          <w:rFonts w:cstheme="majorHAnsi"/>
          <w:b w:val="0"/>
          <w:sz w:val="22"/>
          <w:szCs w:val="22"/>
        </w:rPr>
        <w:t>-Wrap Terms» und «Click-Wrap Terms» aus.</w:t>
      </w:r>
    </w:p>
    <w:p w14:paraId="4DD8D9D0"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 xml:space="preserve">Rechte und Pflichten aus dem Vertragsverhältnis dürfen ohne schriftliche Zustimmung der anderen Partei weder abgetreten, übertragen oder verpfändet werden. </w:t>
      </w:r>
    </w:p>
    <w:p w14:paraId="1328D6BC"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Die Parteien haften nicht für die Folgen höherer Gewalt wie Streik, Aufruhr, Überschwemmungen oder behördlicher Massnahmen sofern derartige Ereignisse im konkreten Einzelfall unvorhersehbar oder unausweichlich sind. Wird eine Vertragsleistung durch höhere Gewalt verhindert oder erschwert, kann der Anbieter deren Erfüllung aussetzen oder angemessen hinausschieben.</w:t>
      </w:r>
    </w:p>
    <w:p w14:paraId="20C2996E" w14:textId="77777777" w:rsidR="00CB0D1E" w:rsidRP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 xml:space="preserve">Sollte sich eine oder mehrere Bestimmungen dieses Vertrags als unwirksam erweisen, ist dadurch die Gültigkeit der übrigen Bestimmungen nicht betroffen. Die Parteien werden in einem solchen Fall den Vertrag so anpassen, dass der mit dem unwirksamen Teil angestrebte Zweck möglichst erreicht wird. </w:t>
      </w:r>
    </w:p>
    <w:p w14:paraId="6484CE1A" w14:textId="77777777" w:rsidR="00CB0D1E" w:rsidRPr="00CB0D1E" w:rsidRDefault="00CB0D1E" w:rsidP="00FC0BC6">
      <w:pPr>
        <w:pStyle w:val="berschrift1"/>
        <w:keepLines w:val="0"/>
        <w:numPr>
          <w:ilvl w:val="0"/>
          <w:numId w:val="19"/>
        </w:numPr>
        <w:spacing w:before="360" w:after="120" w:line="276" w:lineRule="auto"/>
        <w:ind w:left="431" w:hanging="431"/>
        <w:rPr>
          <w:rFonts w:cstheme="majorHAnsi"/>
          <w:sz w:val="22"/>
          <w:szCs w:val="22"/>
        </w:rPr>
      </w:pPr>
      <w:bookmarkStart w:id="23" w:name="_Toc27122112"/>
      <w:r w:rsidRPr="00CB0D1E">
        <w:rPr>
          <w:rFonts w:cstheme="majorHAnsi"/>
          <w:sz w:val="22"/>
          <w:szCs w:val="22"/>
        </w:rPr>
        <w:t>Anwendbares Recht und Gerichtsstand</w:t>
      </w:r>
      <w:bookmarkEnd w:id="23"/>
    </w:p>
    <w:p w14:paraId="55E39DAD" w14:textId="1910784C" w:rsidR="00CB0D1E" w:rsidRDefault="00CB0D1E" w:rsidP="00FC0BC6">
      <w:pPr>
        <w:pStyle w:val="berschrift2"/>
        <w:keepNext w:val="0"/>
        <w:keepLines w:val="0"/>
        <w:numPr>
          <w:ilvl w:val="1"/>
          <w:numId w:val="19"/>
        </w:numPr>
        <w:tabs>
          <w:tab w:val="left" w:pos="425"/>
        </w:tabs>
        <w:spacing w:after="0" w:line="276" w:lineRule="auto"/>
        <w:ind w:left="0" w:firstLine="0"/>
        <w:jc w:val="both"/>
        <w:rPr>
          <w:rFonts w:cstheme="majorHAnsi"/>
          <w:b w:val="0"/>
          <w:sz w:val="22"/>
          <w:szCs w:val="22"/>
        </w:rPr>
      </w:pPr>
      <w:r w:rsidRPr="00CB0D1E">
        <w:rPr>
          <w:rFonts w:cstheme="majorHAnsi"/>
          <w:b w:val="0"/>
          <w:sz w:val="22"/>
          <w:szCs w:val="22"/>
        </w:rPr>
        <w:t xml:space="preserve">Auf diesen Vertrag ist schweizerisches Recht unter Ausschluss des internationalen Kollisionsrechts sowie des Übereinkommens der Vereinigten Nationen über Verträge über den internationalen Warenkauf </w:t>
      </w:r>
      <w:r w:rsidR="00D761E5">
        <w:rPr>
          <w:rFonts w:cstheme="majorHAnsi"/>
          <w:b w:val="0"/>
          <w:sz w:val="22"/>
          <w:szCs w:val="22"/>
        </w:rPr>
        <w:t>anwendbar</w:t>
      </w:r>
      <w:r w:rsidRPr="00CB0D1E">
        <w:rPr>
          <w:rFonts w:cstheme="majorHAnsi"/>
          <w:b w:val="0"/>
          <w:sz w:val="22"/>
          <w:szCs w:val="22"/>
        </w:rPr>
        <w:t>. Ausschliesslicher Gerichtsstand ist stets am Sitz des Kunden.</w:t>
      </w:r>
    </w:p>
    <w:p w14:paraId="7795FAE1" w14:textId="2919C883" w:rsidR="00CB0D1E" w:rsidRDefault="00CB0D1E" w:rsidP="00CB0D1E"/>
    <w:p w14:paraId="5D2E10B2" w14:textId="71B45FE8" w:rsidR="00CB0D1E" w:rsidRDefault="00CB0D1E" w:rsidP="00CB0D1E"/>
    <w:p w14:paraId="2FD04889" w14:textId="77777777" w:rsidR="00CB0D1E" w:rsidRPr="00CB0D1E" w:rsidRDefault="00CB0D1E" w:rsidP="00CB0D1E"/>
    <w:p w14:paraId="1824D4B6" w14:textId="77777777" w:rsidR="00CB0D1E" w:rsidRPr="00CB0D1E" w:rsidRDefault="00CB0D1E" w:rsidP="00FC0BC6">
      <w:pPr>
        <w:pStyle w:val="berschrift1"/>
        <w:keepLines w:val="0"/>
        <w:numPr>
          <w:ilvl w:val="0"/>
          <w:numId w:val="19"/>
        </w:numPr>
        <w:spacing w:before="360" w:after="120" w:line="276" w:lineRule="auto"/>
        <w:ind w:left="431" w:hanging="431"/>
        <w:rPr>
          <w:rFonts w:cstheme="majorHAnsi"/>
          <w:sz w:val="22"/>
          <w:szCs w:val="22"/>
        </w:rPr>
      </w:pPr>
      <w:bookmarkStart w:id="24" w:name="_Toc27122113"/>
      <w:r w:rsidRPr="00CB0D1E">
        <w:rPr>
          <w:rFonts w:cstheme="majorHAnsi"/>
          <w:sz w:val="22"/>
          <w:szCs w:val="22"/>
        </w:rPr>
        <w:lastRenderedPageBreak/>
        <w:t>Unterschriften</w:t>
      </w:r>
      <w:bookmarkEnd w:id="24"/>
    </w:p>
    <w:p w14:paraId="5800FBF2" w14:textId="77777777" w:rsidR="00CB0D1E" w:rsidRPr="00CB0D1E" w:rsidRDefault="00CB0D1E" w:rsidP="00CB0D1E">
      <w:pPr>
        <w:pStyle w:val="Textbody"/>
        <w:rPr>
          <w:rFonts w:asciiTheme="majorHAnsi" w:hAnsiTheme="majorHAnsi" w:cstheme="majorHAnsi"/>
          <w:sz w:val="22"/>
          <w:szCs w:val="22"/>
        </w:rPr>
      </w:pPr>
      <w:r w:rsidRPr="00CB0D1E">
        <w:rPr>
          <w:rFonts w:asciiTheme="majorHAnsi" w:hAnsiTheme="majorHAnsi" w:cstheme="majorHAnsi"/>
          <w:sz w:val="22"/>
          <w:szCs w:val="22"/>
        </w:rPr>
        <w:t>Für den Anbieter:</w:t>
      </w:r>
      <w:r w:rsidRPr="00CB0D1E">
        <w:rPr>
          <w:rFonts w:asciiTheme="majorHAnsi" w:hAnsiTheme="majorHAnsi" w:cstheme="majorHAnsi"/>
          <w:sz w:val="22"/>
          <w:szCs w:val="22"/>
        </w:rPr>
        <w:tab/>
        <w:t>Für den Kunden:</w:t>
      </w:r>
    </w:p>
    <w:p w14:paraId="38CE44BD" w14:textId="77777777" w:rsidR="00CB0D1E" w:rsidRPr="00CB0D1E" w:rsidRDefault="00CB0D1E" w:rsidP="00CB0D1E">
      <w:pPr>
        <w:pStyle w:val="Textbody"/>
        <w:spacing w:before="360"/>
        <w:rPr>
          <w:rFonts w:asciiTheme="majorHAnsi" w:hAnsiTheme="majorHAnsi" w:cstheme="majorHAnsi"/>
          <w:sz w:val="22"/>
          <w:szCs w:val="22"/>
        </w:rPr>
      </w:pPr>
      <w:r w:rsidRPr="00CB0D1E">
        <w:rPr>
          <w:rFonts w:asciiTheme="majorHAnsi" w:hAnsiTheme="majorHAnsi" w:cstheme="majorHAnsi"/>
          <w:sz w:val="22"/>
          <w:szCs w:val="22"/>
        </w:rPr>
        <w:t>Ort und Datum:</w:t>
      </w:r>
      <w:r w:rsidRPr="00CB0D1E">
        <w:rPr>
          <w:rFonts w:asciiTheme="majorHAnsi" w:hAnsiTheme="majorHAnsi" w:cstheme="majorHAnsi"/>
          <w:sz w:val="22"/>
          <w:szCs w:val="22"/>
        </w:rPr>
        <w:tab/>
        <w:t>Ort und Datum:</w:t>
      </w:r>
    </w:p>
    <w:p w14:paraId="5C2FC79F" w14:textId="05A69A40" w:rsidR="00CB0D1E" w:rsidRPr="00CB0D1E" w:rsidRDefault="00CB0D1E" w:rsidP="00CB0D1E">
      <w:pPr>
        <w:pStyle w:val="Textbody"/>
        <w:spacing w:before="360"/>
        <w:rPr>
          <w:rFonts w:asciiTheme="majorHAnsi" w:hAnsiTheme="majorHAnsi" w:cstheme="majorHAnsi"/>
          <w:sz w:val="22"/>
          <w:szCs w:val="22"/>
        </w:rPr>
      </w:pPr>
      <w:r w:rsidRPr="00CB0D1E">
        <w:rPr>
          <w:rFonts w:asciiTheme="majorHAnsi" w:hAnsiTheme="majorHAnsi" w:cstheme="majorHAnsi"/>
          <w:sz w:val="22"/>
          <w:szCs w:val="22"/>
        </w:rPr>
        <w:t>_____________</w:t>
      </w:r>
      <w:r>
        <w:rPr>
          <w:rFonts w:asciiTheme="majorHAnsi" w:hAnsiTheme="majorHAnsi" w:cstheme="majorHAnsi"/>
          <w:sz w:val="22"/>
          <w:szCs w:val="22"/>
        </w:rPr>
        <w:t>__________________</w:t>
      </w:r>
      <w:r>
        <w:rPr>
          <w:rFonts w:asciiTheme="majorHAnsi" w:hAnsiTheme="majorHAnsi" w:cstheme="majorHAnsi"/>
          <w:sz w:val="22"/>
          <w:szCs w:val="22"/>
        </w:rPr>
        <w:tab/>
      </w:r>
      <w:r w:rsidRPr="00CB0D1E">
        <w:rPr>
          <w:rFonts w:asciiTheme="majorHAnsi" w:hAnsiTheme="majorHAnsi" w:cstheme="majorHAnsi"/>
          <w:sz w:val="22"/>
          <w:szCs w:val="22"/>
        </w:rPr>
        <w:t>____________</w:t>
      </w:r>
      <w:r w:rsidR="00FC0BC6">
        <w:rPr>
          <w:rFonts w:asciiTheme="majorHAnsi" w:hAnsiTheme="majorHAnsi" w:cstheme="majorHAnsi"/>
          <w:sz w:val="22"/>
          <w:szCs w:val="22"/>
        </w:rPr>
        <w:t>______________________</w:t>
      </w:r>
    </w:p>
    <w:p w14:paraId="300A0B1C" w14:textId="77777777" w:rsidR="00CB0D1E" w:rsidRPr="00CB0D1E" w:rsidRDefault="00CB0D1E" w:rsidP="00CB0D1E">
      <w:pPr>
        <w:pStyle w:val="Textbody"/>
        <w:spacing w:before="360"/>
        <w:rPr>
          <w:rFonts w:asciiTheme="majorHAnsi" w:hAnsiTheme="majorHAnsi" w:cstheme="majorHAnsi"/>
          <w:sz w:val="22"/>
          <w:szCs w:val="22"/>
        </w:rPr>
      </w:pPr>
      <w:r w:rsidRPr="00CB0D1E">
        <w:rPr>
          <w:rFonts w:asciiTheme="majorHAnsi" w:hAnsiTheme="majorHAnsi" w:cstheme="majorHAnsi"/>
          <w:sz w:val="22"/>
          <w:szCs w:val="22"/>
        </w:rPr>
        <w:t>Unterschrift:</w:t>
      </w:r>
      <w:r w:rsidRPr="00CB0D1E">
        <w:rPr>
          <w:rFonts w:asciiTheme="majorHAnsi" w:hAnsiTheme="majorHAnsi" w:cstheme="majorHAnsi"/>
          <w:sz w:val="22"/>
          <w:szCs w:val="22"/>
        </w:rPr>
        <w:tab/>
        <w:t>Unterschrift:</w:t>
      </w:r>
    </w:p>
    <w:p w14:paraId="3F8BFFC2" w14:textId="16A72F34" w:rsidR="00F95A03" w:rsidRDefault="00F95A03" w:rsidP="00F95A03">
      <w:pPr>
        <w:rPr>
          <w:rFonts w:asciiTheme="majorHAnsi" w:hAnsiTheme="majorHAnsi" w:cstheme="majorHAnsi"/>
        </w:rPr>
      </w:pPr>
    </w:p>
    <w:p w14:paraId="60C608FC" w14:textId="23645B9C" w:rsidR="00FC0BC6" w:rsidRPr="00CB0D1E" w:rsidRDefault="00FC0BC6" w:rsidP="00F95A03">
      <w:pPr>
        <w:rPr>
          <w:rFonts w:asciiTheme="majorHAnsi" w:hAnsiTheme="majorHAnsi" w:cstheme="majorHAnsi"/>
        </w:rPr>
      </w:pPr>
      <w:r w:rsidRPr="00FC0BC6">
        <w:rPr>
          <w:rFonts w:asciiTheme="majorHAnsi" w:hAnsiTheme="majorHAnsi" w:cstheme="majorHAnsi"/>
        </w:rPr>
        <w:t>_______________________________</w:t>
      </w:r>
      <w:r>
        <w:rPr>
          <w:rFonts w:asciiTheme="majorHAnsi" w:hAnsiTheme="majorHAnsi" w:cstheme="majorHAnsi"/>
        </w:rPr>
        <w:tab/>
      </w:r>
      <w:r>
        <w:rPr>
          <w:rFonts w:asciiTheme="majorHAnsi" w:hAnsiTheme="majorHAnsi" w:cstheme="majorHAnsi"/>
        </w:rPr>
        <w:tab/>
      </w:r>
      <w:r w:rsidRPr="00FC0BC6">
        <w:rPr>
          <w:rFonts w:asciiTheme="majorHAnsi" w:hAnsiTheme="majorHAnsi" w:cstheme="majorHAnsi"/>
        </w:rPr>
        <w:t>__________________________________</w:t>
      </w:r>
    </w:p>
    <w:sectPr w:rsidR="00FC0BC6" w:rsidRPr="00CB0D1E" w:rsidSect="002E08ED">
      <w:headerReference w:type="default" r:id="rId11"/>
      <w:footerReference w:type="default" r:id="rId12"/>
      <w:headerReference w:type="first" r:id="rId13"/>
      <w:footerReference w:type="first" r:id="rId14"/>
      <w:pgSz w:w="11906" w:h="16838" w:code="9"/>
      <w:pgMar w:top="1446" w:right="851" w:bottom="1134" w:left="113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82BEF" w14:textId="77777777" w:rsidR="00352977" w:rsidRDefault="00352977" w:rsidP="00E177D4">
      <w:pPr>
        <w:spacing w:after="0"/>
      </w:pPr>
      <w:r>
        <w:separator/>
      </w:r>
    </w:p>
  </w:endnote>
  <w:endnote w:type="continuationSeparator" w:id="0">
    <w:p w14:paraId="6569CD83" w14:textId="77777777" w:rsidR="00352977" w:rsidRDefault="00352977" w:rsidP="00E177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Arial"/>
    <w:charset w:val="00"/>
    <w:family w:val="swiss"/>
    <w:pitch w:val="variable"/>
    <w:sig w:usb0="A00000AF" w:usb1="5000205B"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4FED4" w14:textId="1EC5720C" w:rsidR="008D3D88" w:rsidRDefault="008D3D88" w:rsidP="009A2F57">
    <w:pPr>
      <w:pStyle w:val="Fuzeile"/>
      <w:tabs>
        <w:tab w:val="clear" w:pos="4536"/>
        <w:tab w:val="clear" w:pos="9072"/>
      </w:tabs>
    </w:pPr>
    <w:r>
      <w:rPr>
        <w:noProof/>
        <w:lang w:eastAsia="de-CH"/>
      </w:rPr>
      <w:drawing>
        <wp:inline distT="0" distB="0" distL="0" distR="0" wp14:anchorId="6E64AD44" wp14:editId="2757F6A7">
          <wp:extent cx="4471517" cy="622348"/>
          <wp:effectExtent l="0" t="0" r="5715" b="635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H_Bern_Fusszeile_180x20_RGB_Seite2.png"/>
                  <pic:cNvPicPr/>
                </pic:nvPicPr>
                <pic:blipFill rotWithShape="1">
                  <a:blip r:embed="rId1" cstate="print">
                    <a:extLst>
                      <a:ext uri="{28A0092B-C50C-407E-A947-70E740481C1C}">
                        <a14:useLocalDpi xmlns:a14="http://schemas.microsoft.com/office/drawing/2010/main" val="0"/>
                      </a:ext>
                    </a:extLst>
                  </a:blip>
                  <a:srcRect r="29027"/>
                  <a:stretch/>
                </pic:blipFill>
                <pic:spPr bwMode="auto">
                  <a:xfrm>
                    <a:off x="0" y="0"/>
                    <a:ext cx="4471175" cy="622300"/>
                  </a:xfrm>
                  <a:prstGeom prst="rect">
                    <a:avLst/>
                  </a:prstGeom>
                  <a:ln>
                    <a:noFill/>
                  </a:ln>
                  <a:extLst>
                    <a:ext uri="{53640926-AAD7-44D8-BBD7-CCE9431645EC}">
                      <a14:shadowObscured xmlns:a14="http://schemas.microsoft.com/office/drawing/2010/main"/>
                    </a:ext>
                  </a:extLst>
                </pic:spPr>
              </pic:pic>
            </a:graphicData>
          </a:graphic>
        </wp:inline>
      </w:drawing>
    </w:r>
    <w:r>
      <w:ptab w:relativeTo="margin" w:alignment="right" w:leader="none"/>
    </w:r>
    <w:r w:rsidRPr="000C32EC">
      <w:rPr>
        <w:position w:val="6"/>
      </w:rPr>
      <w:fldChar w:fldCharType="begin"/>
    </w:r>
    <w:r w:rsidRPr="000C32EC">
      <w:rPr>
        <w:position w:val="6"/>
      </w:rPr>
      <w:instrText>PAGE  \* Arabic  \* MERGEFORMAT</w:instrText>
    </w:r>
    <w:r w:rsidRPr="000C32EC">
      <w:rPr>
        <w:position w:val="6"/>
      </w:rPr>
      <w:fldChar w:fldCharType="separate"/>
    </w:r>
    <w:r w:rsidR="007543C8" w:rsidRPr="007543C8">
      <w:rPr>
        <w:noProof/>
        <w:position w:val="6"/>
        <w:lang w:val="de-DE"/>
      </w:rPr>
      <w:t>9</w:t>
    </w:r>
    <w:r w:rsidRPr="000C32EC">
      <w:rPr>
        <w:position w:val="6"/>
      </w:rPr>
      <w:fldChar w:fldCharType="end"/>
    </w:r>
    <w:r w:rsidRPr="000C32EC">
      <w:rPr>
        <w:position w:val="6"/>
        <w:lang w:val="de-DE"/>
      </w:rPr>
      <w:t>/</w:t>
    </w:r>
    <w:r w:rsidRPr="000C32EC">
      <w:rPr>
        <w:position w:val="6"/>
      </w:rPr>
      <w:fldChar w:fldCharType="begin"/>
    </w:r>
    <w:r w:rsidRPr="000C32EC">
      <w:rPr>
        <w:position w:val="6"/>
      </w:rPr>
      <w:instrText>NUMPAGES  \* Arabic  \* MERGEFORMAT</w:instrText>
    </w:r>
    <w:r w:rsidRPr="000C32EC">
      <w:rPr>
        <w:position w:val="6"/>
      </w:rPr>
      <w:fldChar w:fldCharType="separate"/>
    </w:r>
    <w:r w:rsidR="007543C8" w:rsidRPr="007543C8">
      <w:rPr>
        <w:noProof/>
        <w:position w:val="6"/>
        <w:lang w:val="de-DE"/>
      </w:rPr>
      <w:t>9</w:t>
    </w:r>
    <w:r w:rsidRPr="000C32EC">
      <w:rPr>
        <w:noProof/>
        <w:position w:val="6"/>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58774" w14:textId="77777777" w:rsidR="008D3D88" w:rsidRDefault="008D3D88">
    <w:pPr>
      <w:pStyle w:val="Fuzeile"/>
    </w:pPr>
    <w:r>
      <w:rPr>
        <w:noProof/>
        <w:lang w:eastAsia="de-CH"/>
      </w:rPr>
      <w:drawing>
        <wp:inline distT="0" distB="0" distL="0" distR="0" wp14:anchorId="79CAFCF3" wp14:editId="7B56E77E">
          <wp:extent cx="6299835" cy="622300"/>
          <wp:effectExtent l="0" t="0" r="5715" b="635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H_Bern_Fusszeile_180x20_RGB_Seite1_de.png"/>
                  <pic:cNvPicPr/>
                </pic:nvPicPr>
                <pic:blipFill>
                  <a:blip r:embed="rId1">
                    <a:extLst>
                      <a:ext uri="{28A0092B-C50C-407E-A947-70E740481C1C}">
                        <a14:useLocalDpi xmlns:a14="http://schemas.microsoft.com/office/drawing/2010/main" val="0"/>
                      </a:ext>
                    </a:extLst>
                  </a:blip>
                  <a:stretch>
                    <a:fillRect/>
                  </a:stretch>
                </pic:blipFill>
                <pic:spPr>
                  <a:xfrm>
                    <a:off x="0" y="0"/>
                    <a:ext cx="6299835" cy="622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7E411" w14:textId="77777777" w:rsidR="00352977" w:rsidRDefault="00352977" w:rsidP="00E177D4">
      <w:pPr>
        <w:spacing w:after="0"/>
      </w:pPr>
      <w:r>
        <w:separator/>
      </w:r>
    </w:p>
  </w:footnote>
  <w:footnote w:type="continuationSeparator" w:id="0">
    <w:p w14:paraId="40A4E5EC" w14:textId="77777777" w:rsidR="00352977" w:rsidRDefault="00352977" w:rsidP="00E177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03F51" w14:textId="6A3EF877" w:rsidR="008D3D88" w:rsidRPr="0017615C" w:rsidRDefault="00F83C73" w:rsidP="0017615C">
    <w:pPr>
      <w:pStyle w:val="Kopfzeile"/>
      <w:rPr>
        <w:color w:val="7F7F7F" w:themeColor="text2" w:themeTint="80"/>
      </w:rPr>
    </w:pPr>
    <w:r>
      <w:rPr>
        <w:color w:val="7F7F7F" w:themeColor="text2" w:themeTint="80"/>
      </w:rPr>
      <w:t>Rahmenvertrag für Cloud-</w:t>
    </w:r>
    <w:r w:rsidR="00CB0D1E">
      <w:rPr>
        <w:color w:val="7F7F7F" w:themeColor="text2" w:themeTint="80"/>
      </w:rPr>
      <w:t>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FMHTabelleohneRahmenlinien"/>
      <w:tblW w:w="5000" w:type="pct"/>
      <w:tblLook w:val="04A0" w:firstRow="1" w:lastRow="0" w:firstColumn="1" w:lastColumn="0" w:noHBand="0" w:noVBand="1"/>
    </w:tblPr>
    <w:tblGrid>
      <w:gridCol w:w="2582"/>
      <w:gridCol w:w="7339"/>
    </w:tblGrid>
    <w:tr w:rsidR="008D3D88" w14:paraId="5F39048A" w14:textId="77777777" w:rsidTr="00FC3892">
      <w:trPr>
        <w:trHeight w:hRule="exact" w:val="1135"/>
      </w:trPr>
      <w:tc>
        <w:tcPr>
          <w:tcW w:w="2623" w:type="dxa"/>
        </w:tcPr>
        <w:p w14:paraId="283AD052" w14:textId="77777777" w:rsidR="008D3D88" w:rsidRDefault="008D3D88" w:rsidP="00AA0009">
          <w:pPr>
            <w:pStyle w:val="Kopfzeile"/>
            <w:tabs>
              <w:tab w:val="clear" w:pos="9072"/>
            </w:tabs>
          </w:pPr>
          <w:r>
            <w:rPr>
              <w:noProof/>
              <w:lang w:eastAsia="de-CH"/>
            </w:rPr>
            <w:drawing>
              <wp:anchor distT="0" distB="0" distL="114300" distR="114300" simplePos="0" relativeHeight="251658240" behindDoc="0" locked="0" layoutInCell="1" allowOverlap="1" wp14:anchorId="749E1C56" wp14:editId="70B20DDE">
                <wp:simplePos x="0" y="0"/>
                <wp:positionH relativeFrom="column">
                  <wp:posOffset>-320675</wp:posOffset>
                </wp:positionH>
                <wp:positionV relativeFrom="paragraph">
                  <wp:posOffset>6985</wp:posOffset>
                </wp:positionV>
                <wp:extent cx="1461600" cy="698400"/>
                <wp:effectExtent l="0" t="0" r="5715" b="698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MH_RGB.png"/>
                        <pic:cNvPicPr/>
                      </pic:nvPicPr>
                      <pic:blipFill>
                        <a:blip r:embed="rId1">
                          <a:extLst>
                            <a:ext uri="{28A0092B-C50C-407E-A947-70E740481C1C}">
                              <a14:useLocalDpi xmlns:a14="http://schemas.microsoft.com/office/drawing/2010/main" val="0"/>
                            </a:ext>
                          </a:extLst>
                        </a:blip>
                        <a:stretch>
                          <a:fillRect/>
                        </a:stretch>
                      </pic:blipFill>
                      <pic:spPr>
                        <a:xfrm>
                          <a:off x="0" y="0"/>
                          <a:ext cx="1461600" cy="698400"/>
                        </a:xfrm>
                        <a:prstGeom prst="rect">
                          <a:avLst/>
                        </a:prstGeom>
                      </pic:spPr>
                    </pic:pic>
                  </a:graphicData>
                </a:graphic>
                <wp14:sizeRelH relativeFrom="page">
                  <wp14:pctWidth>0</wp14:pctWidth>
                </wp14:sizeRelH>
                <wp14:sizeRelV relativeFrom="page">
                  <wp14:pctHeight>0</wp14:pctHeight>
                </wp14:sizeRelV>
              </wp:anchor>
            </w:drawing>
          </w:r>
        </w:p>
      </w:tc>
      <w:tc>
        <w:tcPr>
          <w:tcW w:w="7457" w:type="dxa"/>
        </w:tcPr>
        <w:p w14:paraId="7356AD08" w14:textId="77777777" w:rsidR="008D3D88" w:rsidRDefault="008D3D88" w:rsidP="00AA0009">
          <w:pPr>
            <w:pStyle w:val="Kopfzeile"/>
            <w:tabs>
              <w:tab w:val="clear" w:pos="4536"/>
              <w:tab w:val="clear" w:pos="9072"/>
            </w:tabs>
            <w:jc w:val="both"/>
          </w:pPr>
        </w:p>
      </w:tc>
    </w:tr>
  </w:tbl>
  <w:p w14:paraId="29700D0F" w14:textId="77777777" w:rsidR="008D3D88" w:rsidRDefault="008D3D88" w:rsidP="004E6C12">
    <w:pPr>
      <w:pStyle w:val="Kopfzeile"/>
      <w:spacing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346C"/>
    <w:multiLevelType w:val="multilevel"/>
    <w:tmpl w:val="681EBA0C"/>
    <w:lvl w:ilvl="0">
      <w:start w:val="1"/>
      <w:numFmt w:val="bullet"/>
      <w:pStyle w:val="Aufzhlungszeichenfr1Ebene"/>
      <w:lvlText w:val=""/>
      <w:lvlJc w:val="left"/>
      <w:pPr>
        <w:ind w:left="567" w:hanging="283"/>
      </w:pPr>
      <w:rPr>
        <w:rFonts w:ascii="Symbol" w:hAnsi="Symbol" w:hint="default"/>
        <w:color w:val="000000" w:themeColor="text2"/>
        <w:u w:color="3C5587" w:themeColor="accent1"/>
      </w:rPr>
    </w:lvl>
    <w:lvl w:ilvl="1">
      <w:start w:val="1"/>
      <w:numFmt w:val="bullet"/>
      <w:pStyle w:val="Aufzhlungszeichen2"/>
      <w:lvlText w:val=""/>
      <w:lvlJc w:val="left"/>
      <w:pPr>
        <w:ind w:left="851" w:hanging="283"/>
      </w:pPr>
      <w:rPr>
        <w:rFonts w:ascii="Symbol" w:hAnsi="Symbol" w:hint="default"/>
        <w:sz w:val="18"/>
      </w:rPr>
    </w:lvl>
    <w:lvl w:ilvl="2">
      <w:start w:val="1"/>
      <w:numFmt w:val="bullet"/>
      <w:pStyle w:val="Aufzhlungszeiche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abstractNum w:abstractNumId="1" w15:restartNumberingAfterBreak="0">
    <w:nsid w:val="11743685"/>
    <w:multiLevelType w:val="hybridMultilevel"/>
    <w:tmpl w:val="977CD56E"/>
    <w:lvl w:ilvl="0" w:tplc="BCE2A87E">
      <w:start w:val="1"/>
      <w:numFmt w:val="bullet"/>
      <w:pStyle w:val="Formatvorlage2"/>
      <w:lvlText w:val=""/>
      <w:lvlJc w:val="left"/>
      <w:pPr>
        <w:ind w:left="720" w:hanging="360"/>
      </w:pPr>
      <w:rPr>
        <w:rFonts w:ascii="Symbol" w:hAnsi="Symbol" w:hint="default"/>
        <w:b/>
      </w:rPr>
    </w:lvl>
    <w:lvl w:ilvl="1" w:tplc="08070003" w:tentative="1">
      <w:start w:val="1"/>
      <w:numFmt w:val="bullet"/>
      <w:pStyle w:val="Formatvorlage2"/>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6C36B9C"/>
    <w:multiLevelType w:val="multilevel"/>
    <w:tmpl w:val="ECB457C4"/>
    <w:styleLink w:val="FMHNummerierunggegliedertauf3EbenenAltN"/>
    <w:lvl w:ilvl="0">
      <w:start w:val="1"/>
      <w:numFmt w:val="decimal"/>
      <w:lvlText w:val="%1."/>
      <w:lvlJc w:val="left"/>
      <w:pPr>
        <w:ind w:left="284" w:hanging="284"/>
      </w:pPr>
      <w:rPr>
        <w:rFonts w:hint="default"/>
      </w:rPr>
    </w:lvl>
    <w:lvl w:ilvl="1">
      <w:start w:val="1"/>
      <w:numFmt w:val="decimal"/>
      <w:lvlText w:val="%1.%2."/>
      <w:lvlJc w:val="left"/>
      <w:pPr>
        <w:ind w:left="794" w:hanging="510"/>
      </w:pPr>
      <w:rPr>
        <w:rFonts w:hint="default"/>
      </w:rPr>
    </w:lvl>
    <w:lvl w:ilvl="2">
      <w:start w:val="1"/>
      <w:numFmt w:val="decimal"/>
      <w:lvlText w:val="%1.%2.%3."/>
      <w:lvlJc w:val="left"/>
      <w:pPr>
        <w:ind w:left="1531" w:hanging="737"/>
      </w:pPr>
      <w:rPr>
        <w:rFonts w:hint="default"/>
      </w:rPr>
    </w:lvl>
    <w:lvl w:ilvl="3">
      <w:start w:val="1"/>
      <w:numFmt w:val="decimal"/>
      <w:lvlText w:val="%1.%2.%3.%4."/>
      <w:lvlJc w:val="left"/>
      <w:pPr>
        <w:ind w:left="1728" w:hanging="5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DB4995"/>
    <w:multiLevelType w:val="hybridMultilevel"/>
    <w:tmpl w:val="25D22DA4"/>
    <w:lvl w:ilvl="0" w:tplc="5CF0F640">
      <w:start w:val="1"/>
      <w:numFmt w:val="bullet"/>
      <w:pStyle w:val="Formatvorlage3"/>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C5D5C5D"/>
    <w:multiLevelType w:val="multilevel"/>
    <w:tmpl w:val="0807001D"/>
    <w:styleLink w:val="Aufzhlung"/>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3B0AD5"/>
    <w:multiLevelType w:val="multilevel"/>
    <w:tmpl w:val="10D4E386"/>
    <w:lvl w:ilvl="0">
      <w:start w:val="1"/>
      <w:numFmt w:val="decimal"/>
      <w:pStyle w:val="Nummerierungfr1Ebene"/>
      <w:lvlText w:val="%1."/>
      <w:lvlJc w:val="left"/>
      <w:pPr>
        <w:ind w:left="425" w:hanging="283"/>
      </w:pPr>
      <w:rPr>
        <w:rFonts w:hint="default"/>
      </w:rPr>
    </w:lvl>
    <w:lvl w:ilvl="1">
      <w:start w:val="1"/>
      <w:numFmt w:val="decimal"/>
      <w:lvlText w:val="%1.%2."/>
      <w:lvlJc w:val="left"/>
      <w:pPr>
        <w:tabs>
          <w:tab w:val="num" w:pos="568"/>
        </w:tabs>
        <w:ind w:left="709" w:hanging="283"/>
      </w:pPr>
      <w:rPr>
        <w:rFonts w:hint="default"/>
      </w:rPr>
    </w:lvl>
    <w:lvl w:ilvl="2">
      <w:start w:val="1"/>
      <w:numFmt w:val="decimal"/>
      <w:lvlText w:val="%1.%2.%3."/>
      <w:lvlJc w:val="left"/>
      <w:pPr>
        <w:tabs>
          <w:tab w:val="num" w:pos="852"/>
        </w:tabs>
        <w:ind w:left="993" w:hanging="283"/>
      </w:pPr>
      <w:rPr>
        <w:rFonts w:hint="default"/>
      </w:rPr>
    </w:lvl>
    <w:lvl w:ilvl="3">
      <w:start w:val="1"/>
      <w:numFmt w:val="decimal"/>
      <w:lvlText w:val="%1.%2.%3.%4."/>
      <w:lvlJc w:val="left"/>
      <w:pPr>
        <w:tabs>
          <w:tab w:val="num" w:pos="1136"/>
        </w:tabs>
        <w:ind w:left="1277" w:hanging="283"/>
      </w:pPr>
      <w:rPr>
        <w:rFonts w:hint="default"/>
      </w:rPr>
    </w:lvl>
    <w:lvl w:ilvl="4">
      <w:start w:val="1"/>
      <w:numFmt w:val="decimal"/>
      <w:lvlText w:val="%1.%2.%3.%4.%5."/>
      <w:lvlJc w:val="left"/>
      <w:pPr>
        <w:tabs>
          <w:tab w:val="num" w:pos="1420"/>
        </w:tabs>
        <w:ind w:left="1561" w:hanging="283"/>
      </w:pPr>
      <w:rPr>
        <w:rFonts w:hint="default"/>
      </w:rPr>
    </w:lvl>
    <w:lvl w:ilvl="5">
      <w:start w:val="1"/>
      <w:numFmt w:val="decimal"/>
      <w:lvlText w:val="%1.%2.%3.%4.%5.%6."/>
      <w:lvlJc w:val="left"/>
      <w:pPr>
        <w:tabs>
          <w:tab w:val="num" w:pos="1704"/>
        </w:tabs>
        <w:ind w:left="1845" w:hanging="283"/>
      </w:pPr>
      <w:rPr>
        <w:rFonts w:hint="default"/>
      </w:rPr>
    </w:lvl>
    <w:lvl w:ilvl="6">
      <w:start w:val="1"/>
      <w:numFmt w:val="decimal"/>
      <w:lvlText w:val="%1.%2.%3.%4.%5.%6.%7."/>
      <w:lvlJc w:val="left"/>
      <w:pPr>
        <w:tabs>
          <w:tab w:val="num" w:pos="1988"/>
        </w:tabs>
        <w:ind w:left="2129" w:hanging="283"/>
      </w:pPr>
      <w:rPr>
        <w:rFonts w:hint="default"/>
      </w:rPr>
    </w:lvl>
    <w:lvl w:ilvl="7">
      <w:start w:val="1"/>
      <w:numFmt w:val="decimal"/>
      <w:lvlText w:val="%1.%2.%3.%4.%5.%6.%7.%8."/>
      <w:lvlJc w:val="left"/>
      <w:pPr>
        <w:tabs>
          <w:tab w:val="num" w:pos="2272"/>
        </w:tabs>
        <w:ind w:left="2413" w:hanging="283"/>
      </w:pPr>
      <w:rPr>
        <w:rFonts w:hint="default"/>
      </w:rPr>
    </w:lvl>
    <w:lvl w:ilvl="8">
      <w:start w:val="1"/>
      <w:numFmt w:val="decimal"/>
      <w:lvlText w:val="%1.%2.%3.%4.%5.%6.%7.%8.%9."/>
      <w:lvlJc w:val="left"/>
      <w:pPr>
        <w:tabs>
          <w:tab w:val="num" w:pos="2556"/>
        </w:tabs>
        <w:ind w:left="2697" w:hanging="283"/>
      </w:pPr>
      <w:rPr>
        <w:rFonts w:hint="default"/>
      </w:rPr>
    </w:lvl>
  </w:abstractNum>
  <w:abstractNum w:abstractNumId="6" w15:restartNumberingAfterBreak="0">
    <w:nsid w:val="26997A68"/>
    <w:multiLevelType w:val="hybridMultilevel"/>
    <w:tmpl w:val="7FC63134"/>
    <w:lvl w:ilvl="0" w:tplc="DE9C9144">
      <w:start w:val="1"/>
      <w:numFmt w:val="upperLetter"/>
      <w:pStyle w:val="ABCAufzhlungfr1Ebene"/>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F73118F"/>
    <w:multiLevelType w:val="multilevel"/>
    <w:tmpl w:val="9822E220"/>
    <w:lvl w:ilvl="0">
      <w:start w:val="1"/>
      <w:numFmt w:val="decimal"/>
      <w:pStyle w:val="X-Header1"/>
      <w:lvlText w:val="%1."/>
      <w:lvlJc w:val="left"/>
      <w:pPr>
        <w:ind w:left="578" w:hanging="578"/>
      </w:pPr>
      <w:rPr>
        <w:rFonts w:ascii="Segoe UI Light" w:hAnsi="Segoe UI Light" w:hint="default"/>
        <w:color w:val="66CC33"/>
      </w:rPr>
    </w:lvl>
    <w:lvl w:ilvl="1">
      <w:start w:val="1"/>
      <w:numFmt w:val="decimal"/>
      <w:pStyle w:val="X-Header11"/>
      <w:lvlText w:val="%1.%2"/>
      <w:lvlJc w:val="left"/>
      <w:pPr>
        <w:ind w:left="578" w:hanging="578"/>
      </w:pPr>
      <w:rPr>
        <w:rFonts w:ascii="Segoe UI Light" w:hAnsi="Segoe UI Light" w:hint="default"/>
      </w:rPr>
    </w:lvl>
    <w:lvl w:ilvl="2">
      <w:start w:val="1"/>
      <w:numFmt w:val="decimal"/>
      <w:pStyle w:val="X-Header111"/>
      <w:lvlText w:val="%1.%2.%3"/>
      <w:lvlJc w:val="left"/>
      <w:pPr>
        <w:ind w:left="578" w:hanging="578"/>
      </w:pPr>
      <w:rPr>
        <w:rFonts w:ascii="Segoe UI Light" w:hAnsi="Segoe UI Light" w:hint="default"/>
        <w:sz w:val="24"/>
      </w:rPr>
    </w:lvl>
    <w:lvl w:ilvl="3">
      <w:start w:val="1"/>
      <w:numFmt w:val="decimal"/>
      <w:pStyle w:val="X-Header1111"/>
      <w:lvlText w:val="%1.%2.%3.%4"/>
      <w:lvlJc w:val="left"/>
      <w:pPr>
        <w:ind w:left="578" w:hanging="578"/>
      </w:pPr>
      <w:rPr>
        <w:rFonts w:ascii="Segoe UI Light" w:hAnsi="Segoe UI Light" w:hint="default"/>
        <w:b w:val="0"/>
        <w:i w:val="0"/>
        <w:color w:val="66CC33"/>
        <w:sz w:val="22"/>
      </w:rPr>
    </w:lvl>
    <w:lvl w:ilvl="4">
      <w:start w:val="1"/>
      <w:numFmt w:val="none"/>
      <w:lvlText w:val="%5."/>
      <w:lvlJc w:val="left"/>
      <w:pPr>
        <w:ind w:left="578" w:hanging="578"/>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5A5354"/>
    <w:multiLevelType w:val="hybridMultilevel"/>
    <w:tmpl w:val="628AE6E6"/>
    <w:lvl w:ilvl="0" w:tplc="5388F740">
      <w:start w:val="1"/>
      <w:numFmt w:val="decimal"/>
      <w:lvlText w:val="%1."/>
      <w:lvlJc w:val="left"/>
      <w:pPr>
        <w:ind w:left="720" w:hanging="360"/>
      </w:pPr>
      <w:rPr>
        <w:sz w:val="24"/>
        <w:szCs w:val="24"/>
      </w:rPr>
    </w:lvl>
    <w:lvl w:ilvl="1" w:tplc="E240745E">
      <w:start w:val="1"/>
      <w:numFmt w:val="decimal"/>
      <w:lvlText w:val="%2."/>
      <w:lvlJc w:val="left"/>
      <w:pPr>
        <w:ind w:left="1440" w:hanging="360"/>
      </w:pPr>
    </w:lvl>
    <w:lvl w:ilvl="2" w:tplc="0807001B">
      <w:start w:val="1"/>
      <w:numFmt w:val="lowerRoman"/>
      <w:lvlText w:val="%3."/>
      <w:lvlJc w:val="right"/>
      <w:pPr>
        <w:ind w:left="2160" w:hanging="180"/>
      </w:pPr>
    </w:lvl>
    <w:lvl w:ilvl="3" w:tplc="8D6283FA">
      <w:start w:val="1"/>
      <w:numFmt w:val="lowerLetter"/>
      <w:pStyle w:val="Formatvorlage1"/>
      <w:lvlText w:val="%4)"/>
      <w:lvlJc w:val="left"/>
      <w:pPr>
        <w:ind w:left="2880" w:hanging="360"/>
      </w:pPr>
      <w:rPr>
        <w:rFonts w:hint="default"/>
      </w:r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C431998"/>
    <w:multiLevelType w:val="multilevel"/>
    <w:tmpl w:val="75A22DFA"/>
    <w:lvl w:ilvl="0">
      <w:start w:val="1"/>
      <w:numFmt w:val="bullet"/>
      <w:lvlText w:val=""/>
      <w:lvlJc w:val="left"/>
      <w:pPr>
        <w:ind w:left="720" w:hanging="360"/>
      </w:pPr>
      <w:rPr>
        <w:rFonts w:ascii="Wingdings" w:hAnsi="Wingdings" w:hint="default"/>
        <w:b w:val="0"/>
        <w:i w:val="0"/>
        <w:color w:val="66CC33"/>
        <w:sz w:val="16"/>
      </w:rPr>
    </w:lvl>
    <w:lvl w:ilvl="1">
      <w:start w:val="1"/>
      <w:numFmt w:val="bullet"/>
      <w:pStyle w:val="X-Aufzhlung"/>
      <w:lvlText w:val=""/>
      <w:lvlJc w:val="left"/>
      <w:pPr>
        <w:tabs>
          <w:tab w:val="num" w:pos="720"/>
        </w:tabs>
        <w:ind w:left="1083" w:hanging="363"/>
      </w:pPr>
      <w:rPr>
        <w:rFonts w:ascii="Wingdings" w:hAnsi="Wingdings" w:hint="default"/>
        <w:color w:val="66CC33"/>
      </w:rPr>
    </w:lvl>
    <w:lvl w:ilvl="2">
      <w:start w:val="1"/>
      <w:numFmt w:val="bullet"/>
      <w:lvlText w:val="▪"/>
      <w:lvlJc w:val="left"/>
      <w:pPr>
        <w:ind w:left="1446" w:hanging="363"/>
      </w:pPr>
      <w:rPr>
        <w:rFonts w:ascii="Sylfaen" w:hAnsi="Sylfaen" w:hint="default"/>
        <w:color w:val="66CC33"/>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D801348"/>
    <w:multiLevelType w:val="multilevel"/>
    <w:tmpl w:val="CD76AC76"/>
    <w:styleLink w:val="FMHAufzhlunggegliedertauf3EbenenAltA"/>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2171E04"/>
    <w:multiLevelType w:val="multilevel"/>
    <w:tmpl w:val="3A5AECB8"/>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624" w:hanging="624"/>
      </w:pPr>
      <w:rPr>
        <w:rFonts w:hint="default"/>
      </w:rPr>
    </w:lvl>
    <w:lvl w:ilvl="2">
      <w:start w:val="1"/>
      <w:numFmt w:val="decimal"/>
      <w:pStyle w:val="berschrift3"/>
      <w:lvlText w:val="%1.%2.%3"/>
      <w:lvlJc w:val="left"/>
      <w:pPr>
        <w:ind w:left="737" w:hanging="737"/>
      </w:pPr>
      <w:rPr>
        <w:rFonts w:hint="default"/>
      </w:rPr>
    </w:lvl>
    <w:lvl w:ilvl="3">
      <w:start w:val="1"/>
      <w:numFmt w:val="decimal"/>
      <w:lvlText w:val="%1.%2.%3.%4"/>
      <w:lvlJc w:val="left"/>
      <w:pPr>
        <w:ind w:left="0" w:firstLine="0"/>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2" w15:restartNumberingAfterBreak="0">
    <w:nsid w:val="48826E8A"/>
    <w:multiLevelType w:val="hybridMultilevel"/>
    <w:tmpl w:val="F412DE86"/>
    <w:lvl w:ilvl="0" w:tplc="38E03922">
      <w:numFmt w:val="bullet"/>
      <w:lvlText w:val="–"/>
      <w:lvlJc w:val="left"/>
      <w:pPr>
        <w:ind w:left="1065" w:hanging="705"/>
      </w:pPr>
      <w:rPr>
        <w:rFonts w:ascii="Segoe UI Light" w:eastAsia="Times New Roman" w:hAnsi="Segoe UI Light" w:cs="Segoe UI Light"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8A64E29"/>
    <w:multiLevelType w:val="hybridMultilevel"/>
    <w:tmpl w:val="68503C0E"/>
    <w:lvl w:ilvl="0" w:tplc="D062E832">
      <w:start w:val="1"/>
      <w:numFmt w:val="lowerRoman"/>
      <w:pStyle w:val="NumberedList"/>
      <w:lvlText w:val="(%1)"/>
      <w:lvlJc w:val="left"/>
      <w:pPr>
        <w:tabs>
          <w:tab w:val="num" w:pos="1609"/>
        </w:tabs>
        <w:ind w:left="1609" w:hanging="709"/>
      </w:pPr>
      <w:rPr>
        <w:rFonts w:hint="default"/>
      </w:rPr>
    </w:lvl>
    <w:lvl w:ilvl="1" w:tplc="FFFFFFFF">
      <w:start w:val="1"/>
      <w:numFmt w:val="lowerLetter"/>
      <w:lvlText w:val="%2."/>
      <w:lvlJc w:val="left"/>
      <w:pPr>
        <w:tabs>
          <w:tab w:val="num" w:pos="360"/>
        </w:tabs>
        <w:ind w:left="360" w:hanging="360"/>
      </w:pPr>
    </w:lvl>
    <w:lvl w:ilvl="2" w:tplc="FFFFFFFF">
      <w:start w:val="1"/>
      <w:numFmt w:val="lowerRoman"/>
      <w:lvlText w:val="%3."/>
      <w:lvlJc w:val="right"/>
      <w:pPr>
        <w:tabs>
          <w:tab w:val="num" w:pos="1080"/>
        </w:tabs>
        <w:ind w:left="1080" w:hanging="180"/>
      </w:pPr>
    </w:lvl>
    <w:lvl w:ilvl="3" w:tplc="FFFFFFFF">
      <w:start w:val="1"/>
      <w:numFmt w:val="decimal"/>
      <w:lvlText w:val="%4."/>
      <w:lvlJc w:val="left"/>
      <w:pPr>
        <w:tabs>
          <w:tab w:val="num" w:pos="1800"/>
        </w:tabs>
        <w:ind w:left="1800" w:hanging="360"/>
      </w:pPr>
    </w:lvl>
    <w:lvl w:ilvl="4" w:tplc="FFFFFFFF">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4" w15:restartNumberingAfterBreak="0">
    <w:nsid w:val="48D84DA1"/>
    <w:multiLevelType w:val="hybridMultilevel"/>
    <w:tmpl w:val="29AC0C7C"/>
    <w:lvl w:ilvl="0" w:tplc="08070017">
      <w:start w:val="1"/>
      <w:numFmt w:val="lowerLetter"/>
      <w:pStyle w:val="NummerierungPw"/>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462B50"/>
    <w:multiLevelType w:val="multilevel"/>
    <w:tmpl w:val="6414D118"/>
    <w:lvl w:ilvl="0">
      <w:start w:val="1"/>
      <w:numFmt w:val="decimal"/>
      <w:lvlText w:val="%1"/>
      <w:lvlJc w:val="left"/>
      <w:pPr>
        <w:ind w:left="432" w:hanging="432"/>
      </w:pPr>
    </w:lvl>
    <w:lvl w:ilvl="1">
      <w:start w:val="1"/>
      <w:numFmt w:val="decimal"/>
      <w:lvlText w:val="%1.%2"/>
      <w:lvlJc w:val="left"/>
      <w:pPr>
        <w:ind w:left="1427"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D0E0E7B"/>
    <w:multiLevelType w:val="hybridMultilevel"/>
    <w:tmpl w:val="D3E24428"/>
    <w:lvl w:ilvl="0" w:tplc="407EB6B2">
      <w:start w:val="1"/>
      <w:numFmt w:val="lowerLetter"/>
      <w:pStyle w:val="Level3"/>
      <w:lvlText w:val="(%1)"/>
      <w:lvlJc w:val="left"/>
      <w:pPr>
        <w:tabs>
          <w:tab w:val="num" w:pos="709"/>
        </w:tabs>
        <w:ind w:left="709" w:hanging="709"/>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5"/>
      <w:numFmt w:val="decimal"/>
      <w:lvlText w:val="%4."/>
      <w:lvlJc w:val="left"/>
      <w:pPr>
        <w:tabs>
          <w:tab w:val="num" w:pos="2880"/>
        </w:tabs>
        <w:ind w:left="2880" w:hanging="360"/>
      </w:pPr>
      <w:rPr>
        <w:rFonts w:hint="default"/>
        <w:b/>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F5F6B18"/>
    <w:multiLevelType w:val="hybridMultilevel"/>
    <w:tmpl w:val="2384019A"/>
    <w:lvl w:ilvl="0" w:tplc="098EE7AC">
      <w:start w:val="6"/>
      <w:numFmt w:val="bullet"/>
      <w:pStyle w:val="Fazit"/>
      <w:lvlText w:val=""/>
      <w:lvlJc w:val="left"/>
      <w:pPr>
        <w:ind w:left="720" w:hanging="360"/>
      </w:pPr>
      <w:rPr>
        <w:rFonts w:ascii="Wingdings" w:eastAsia="Times New Roman" w:hAnsi="Wingdings" w:cs="Times New Roman" w:hint="default"/>
        <w:b/>
      </w:rPr>
    </w:lvl>
    <w:lvl w:ilvl="1" w:tplc="08070003" w:tentative="1">
      <w:start w:val="1"/>
      <w:numFmt w:val="bullet"/>
      <w:pStyle w:val="Fazi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36C4EE0"/>
    <w:multiLevelType w:val="multilevel"/>
    <w:tmpl w:val="52E45ECE"/>
    <w:styleLink w:val="IDfixNum14"/>
    <w:lvl w:ilvl="0">
      <w:start w:val="1"/>
      <w:numFmt w:val="bullet"/>
      <w:pStyle w:val="IDfixNum04"/>
      <w:lvlText w:val="–"/>
      <w:lvlJc w:val="left"/>
      <w:pPr>
        <w:tabs>
          <w:tab w:val="num" w:pos="1656"/>
        </w:tabs>
        <w:ind w:left="1656" w:hanging="664"/>
      </w:pPr>
      <w:rPr>
        <w:rFonts w:ascii="Calibri" w:hAnsi="Calibri" w:hint="default"/>
        <w:b w:val="0"/>
        <w:i w:val="0"/>
        <w:color w:val="auto"/>
        <w:sz w:val="24"/>
      </w:rPr>
    </w:lvl>
    <w:lvl w:ilvl="1">
      <w:start w:val="1"/>
      <w:numFmt w:val="bullet"/>
      <w:lvlText w:val="–"/>
      <w:lvlJc w:val="left"/>
      <w:pPr>
        <w:tabs>
          <w:tab w:val="num" w:pos="2098"/>
        </w:tabs>
        <w:ind w:left="2098" w:hanging="442"/>
      </w:pPr>
      <w:rPr>
        <w:rFonts w:ascii="Calibri" w:hAnsi="Calibri" w:cs="Times New Roman" w:hint="default"/>
        <w:b w:val="0"/>
        <w:i w:val="0"/>
        <w:sz w:val="24"/>
      </w:rPr>
    </w:lvl>
    <w:lvl w:ilvl="2">
      <w:start w:val="1"/>
      <w:numFmt w:val="bullet"/>
      <w:lvlText w:val="–"/>
      <w:lvlJc w:val="left"/>
      <w:pPr>
        <w:tabs>
          <w:tab w:val="num" w:pos="2693"/>
        </w:tabs>
        <w:ind w:left="2693" w:hanging="595"/>
      </w:pPr>
      <w:rPr>
        <w:rFonts w:ascii="Calibri" w:hAnsi="Calibri" w:cs="Times New Roman" w:hint="default"/>
        <w:b w:val="0"/>
        <w:i w:val="0"/>
        <w:sz w:val="24"/>
      </w:rPr>
    </w:lvl>
    <w:lvl w:ilvl="3">
      <w:start w:val="1"/>
      <w:numFmt w:val="bullet"/>
      <w:lvlText w:val="–"/>
      <w:lvlJc w:val="left"/>
      <w:pPr>
        <w:tabs>
          <w:tab w:val="num" w:pos="3232"/>
        </w:tabs>
        <w:ind w:left="3232" w:hanging="539"/>
      </w:pPr>
      <w:rPr>
        <w:rFonts w:ascii="Calibri" w:hAnsi="Calibri" w:cs="Times New Roman" w:hint="default"/>
        <w:b w:val="0"/>
        <w:i w:val="0"/>
        <w:sz w:val="24"/>
      </w:rPr>
    </w:lvl>
    <w:lvl w:ilvl="4">
      <w:start w:val="1"/>
      <w:numFmt w:val="none"/>
      <w:lvlText w:val=""/>
      <w:lvlJc w:val="left"/>
      <w:pPr>
        <w:tabs>
          <w:tab w:val="num" w:pos="3232"/>
        </w:tabs>
        <w:ind w:left="3232" w:hanging="539"/>
      </w:pPr>
      <w:rPr>
        <w:rFonts w:ascii="Calibri" w:hAnsi="Calibri" w:hint="default"/>
      </w:rPr>
    </w:lvl>
    <w:lvl w:ilvl="5">
      <w:start w:val="1"/>
      <w:numFmt w:val="none"/>
      <w:lvlText w:val=""/>
      <w:lvlJc w:val="left"/>
      <w:pPr>
        <w:tabs>
          <w:tab w:val="num" w:pos="3232"/>
        </w:tabs>
        <w:ind w:left="3232" w:hanging="539"/>
      </w:pPr>
      <w:rPr>
        <w:rFonts w:hint="default"/>
      </w:rPr>
    </w:lvl>
    <w:lvl w:ilvl="6">
      <w:start w:val="1"/>
      <w:numFmt w:val="none"/>
      <w:lvlText w:val=""/>
      <w:lvlJc w:val="left"/>
      <w:pPr>
        <w:tabs>
          <w:tab w:val="num" w:pos="3232"/>
        </w:tabs>
        <w:ind w:left="3232" w:hanging="539"/>
      </w:pPr>
      <w:rPr>
        <w:rFonts w:hint="default"/>
      </w:rPr>
    </w:lvl>
    <w:lvl w:ilvl="7">
      <w:start w:val="1"/>
      <w:numFmt w:val="none"/>
      <w:lvlText w:val=""/>
      <w:lvlJc w:val="left"/>
      <w:pPr>
        <w:tabs>
          <w:tab w:val="num" w:pos="3232"/>
        </w:tabs>
        <w:ind w:left="3232" w:hanging="539"/>
      </w:pPr>
      <w:rPr>
        <w:rFonts w:hint="default"/>
      </w:rPr>
    </w:lvl>
    <w:lvl w:ilvl="8">
      <w:start w:val="1"/>
      <w:numFmt w:val="none"/>
      <w:lvlText w:val=""/>
      <w:lvlJc w:val="left"/>
      <w:pPr>
        <w:tabs>
          <w:tab w:val="num" w:pos="3232"/>
        </w:tabs>
        <w:ind w:left="3232" w:hanging="539"/>
      </w:pPr>
      <w:rPr>
        <w:rFonts w:hint="default"/>
      </w:rPr>
    </w:lvl>
  </w:abstractNum>
  <w:num w:numId="1">
    <w:abstractNumId w:val="11"/>
  </w:num>
  <w:num w:numId="2">
    <w:abstractNumId w:val="2"/>
  </w:num>
  <w:num w:numId="3">
    <w:abstractNumId w:val="10"/>
  </w:num>
  <w:num w:numId="4">
    <w:abstractNumId w:val="6"/>
  </w:num>
  <w:num w:numId="5">
    <w:abstractNumId w:val="0"/>
  </w:num>
  <w:num w:numId="6">
    <w:abstractNumId w:val="5"/>
  </w:num>
  <w:num w:numId="7">
    <w:abstractNumId w:val="4"/>
  </w:num>
  <w:num w:numId="8">
    <w:abstractNumId w:val="14"/>
  </w:num>
  <w:num w:numId="9">
    <w:abstractNumId w:val="16"/>
    <w:lvlOverride w:ilvl="0">
      <w:startOverride w:val="1"/>
    </w:lvlOverride>
  </w:num>
  <w:num w:numId="10">
    <w:abstractNumId w:val="13"/>
  </w:num>
  <w:num w:numId="11">
    <w:abstractNumId w:val="8"/>
  </w:num>
  <w:num w:numId="12">
    <w:abstractNumId w:val="17"/>
  </w:num>
  <w:num w:numId="13">
    <w:abstractNumId w:val="1"/>
  </w:num>
  <w:num w:numId="14">
    <w:abstractNumId w:val="3"/>
  </w:num>
  <w:num w:numId="15">
    <w:abstractNumId w:val="18"/>
  </w:num>
  <w:num w:numId="16">
    <w:abstractNumId w:val="9"/>
  </w:num>
  <w:num w:numId="17">
    <w:abstractNumId w:val="7"/>
  </w:num>
  <w:num w:numId="18">
    <w:abstractNumId w:val="12"/>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03"/>
    <w:rsid w:val="00001001"/>
    <w:rsid w:val="00001A8A"/>
    <w:rsid w:val="00003C41"/>
    <w:rsid w:val="00007AFE"/>
    <w:rsid w:val="00012230"/>
    <w:rsid w:val="00015C6C"/>
    <w:rsid w:val="00026959"/>
    <w:rsid w:val="00030D99"/>
    <w:rsid w:val="00044B75"/>
    <w:rsid w:val="000505CF"/>
    <w:rsid w:val="000508D0"/>
    <w:rsid w:val="0005310F"/>
    <w:rsid w:val="00056FA0"/>
    <w:rsid w:val="000570C6"/>
    <w:rsid w:val="000634CE"/>
    <w:rsid w:val="00063F0F"/>
    <w:rsid w:val="00064A67"/>
    <w:rsid w:val="00067F38"/>
    <w:rsid w:val="000700FD"/>
    <w:rsid w:val="00072593"/>
    <w:rsid w:val="00073958"/>
    <w:rsid w:val="000742B5"/>
    <w:rsid w:val="000758CF"/>
    <w:rsid w:val="00081D31"/>
    <w:rsid w:val="0008234F"/>
    <w:rsid w:val="00085999"/>
    <w:rsid w:val="00090C23"/>
    <w:rsid w:val="00093F10"/>
    <w:rsid w:val="000A0E4A"/>
    <w:rsid w:val="000A4DD2"/>
    <w:rsid w:val="000A7ECD"/>
    <w:rsid w:val="000B2F3B"/>
    <w:rsid w:val="000C32EC"/>
    <w:rsid w:val="000C47ED"/>
    <w:rsid w:val="000C7CC1"/>
    <w:rsid w:val="000D22C9"/>
    <w:rsid w:val="000D6B8E"/>
    <w:rsid w:val="000E3CC6"/>
    <w:rsid w:val="000E46F8"/>
    <w:rsid w:val="000F18D0"/>
    <w:rsid w:val="000F7A9B"/>
    <w:rsid w:val="00106CA5"/>
    <w:rsid w:val="00107B3C"/>
    <w:rsid w:val="001106BF"/>
    <w:rsid w:val="00122B40"/>
    <w:rsid w:val="00123A1B"/>
    <w:rsid w:val="00124D60"/>
    <w:rsid w:val="00124E23"/>
    <w:rsid w:val="00125D55"/>
    <w:rsid w:val="0012615E"/>
    <w:rsid w:val="00126CD2"/>
    <w:rsid w:val="00131AD9"/>
    <w:rsid w:val="001333F1"/>
    <w:rsid w:val="00133507"/>
    <w:rsid w:val="00141B36"/>
    <w:rsid w:val="001421D2"/>
    <w:rsid w:val="00143080"/>
    <w:rsid w:val="001568CA"/>
    <w:rsid w:val="00157141"/>
    <w:rsid w:val="001610EB"/>
    <w:rsid w:val="00164AFE"/>
    <w:rsid w:val="0017417E"/>
    <w:rsid w:val="0017615C"/>
    <w:rsid w:val="00176FCA"/>
    <w:rsid w:val="001814E4"/>
    <w:rsid w:val="00182110"/>
    <w:rsid w:val="00183126"/>
    <w:rsid w:val="00184D8D"/>
    <w:rsid w:val="00187722"/>
    <w:rsid w:val="00197F63"/>
    <w:rsid w:val="001A1115"/>
    <w:rsid w:val="001A27EB"/>
    <w:rsid w:val="001B70CD"/>
    <w:rsid w:val="001B70E9"/>
    <w:rsid w:val="001C4323"/>
    <w:rsid w:val="001C4AB4"/>
    <w:rsid w:val="001C61ED"/>
    <w:rsid w:val="001D172C"/>
    <w:rsid w:val="001D1D91"/>
    <w:rsid w:val="001D3A02"/>
    <w:rsid w:val="001E714C"/>
    <w:rsid w:val="001F0AEE"/>
    <w:rsid w:val="001F1E40"/>
    <w:rsid w:val="001F3465"/>
    <w:rsid w:val="001F6EE3"/>
    <w:rsid w:val="001F7CD0"/>
    <w:rsid w:val="002003C8"/>
    <w:rsid w:val="00204EA1"/>
    <w:rsid w:val="0020549C"/>
    <w:rsid w:val="0021526B"/>
    <w:rsid w:val="00222A11"/>
    <w:rsid w:val="00225B42"/>
    <w:rsid w:val="002274EF"/>
    <w:rsid w:val="00233309"/>
    <w:rsid w:val="002337A3"/>
    <w:rsid w:val="00243BEB"/>
    <w:rsid w:val="00245BC0"/>
    <w:rsid w:val="00253558"/>
    <w:rsid w:val="00253F0B"/>
    <w:rsid w:val="002664C7"/>
    <w:rsid w:val="00266EC7"/>
    <w:rsid w:val="0027242F"/>
    <w:rsid w:val="0027292B"/>
    <w:rsid w:val="00280CAE"/>
    <w:rsid w:val="00281021"/>
    <w:rsid w:val="00282F55"/>
    <w:rsid w:val="00293B5F"/>
    <w:rsid w:val="00293C39"/>
    <w:rsid w:val="002A3C70"/>
    <w:rsid w:val="002A3D48"/>
    <w:rsid w:val="002A49AE"/>
    <w:rsid w:val="002A6961"/>
    <w:rsid w:val="002B2FED"/>
    <w:rsid w:val="002B3864"/>
    <w:rsid w:val="002B741A"/>
    <w:rsid w:val="002B7FDA"/>
    <w:rsid w:val="002C7E05"/>
    <w:rsid w:val="002E08ED"/>
    <w:rsid w:val="002E1DAE"/>
    <w:rsid w:val="002E3944"/>
    <w:rsid w:val="002E7582"/>
    <w:rsid w:val="002F0170"/>
    <w:rsid w:val="002F6BE2"/>
    <w:rsid w:val="003049FA"/>
    <w:rsid w:val="00304F92"/>
    <w:rsid w:val="00307ED6"/>
    <w:rsid w:val="00310312"/>
    <w:rsid w:val="0031121F"/>
    <w:rsid w:val="00313C31"/>
    <w:rsid w:val="003149EF"/>
    <w:rsid w:val="00320364"/>
    <w:rsid w:val="00321F80"/>
    <w:rsid w:val="003321A4"/>
    <w:rsid w:val="003326D6"/>
    <w:rsid w:val="003345AA"/>
    <w:rsid w:val="003450A0"/>
    <w:rsid w:val="0034519D"/>
    <w:rsid w:val="00346D4F"/>
    <w:rsid w:val="003478CB"/>
    <w:rsid w:val="00352977"/>
    <w:rsid w:val="00356136"/>
    <w:rsid w:val="003609B8"/>
    <w:rsid w:val="00361928"/>
    <w:rsid w:val="003708C3"/>
    <w:rsid w:val="0037496B"/>
    <w:rsid w:val="003756A3"/>
    <w:rsid w:val="00377755"/>
    <w:rsid w:val="00377AB2"/>
    <w:rsid w:val="003866D9"/>
    <w:rsid w:val="0039042D"/>
    <w:rsid w:val="00397F57"/>
    <w:rsid w:val="003A03E4"/>
    <w:rsid w:val="003A12BD"/>
    <w:rsid w:val="003A1852"/>
    <w:rsid w:val="003A235F"/>
    <w:rsid w:val="003A31CA"/>
    <w:rsid w:val="003A34FC"/>
    <w:rsid w:val="003A3DE0"/>
    <w:rsid w:val="003C4327"/>
    <w:rsid w:val="003C4580"/>
    <w:rsid w:val="003C7375"/>
    <w:rsid w:val="003C7AB6"/>
    <w:rsid w:val="003D0F66"/>
    <w:rsid w:val="003E4CA3"/>
    <w:rsid w:val="003F01EF"/>
    <w:rsid w:val="003F1F42"/>
    <w:rsid w:val="003F491B"/>
    <w:rsid w:val="003F5B40"/>
    <w:rsid w:val="003F611D"/>
    <w:rsid w:val="00405DA7"/>
    <w:rsid w:val="00406F3E"/>
    <w:rsid w:val="00410E92"/>
    <w:rsid w:val="00412173"/>
    <w:rsid w:val="004147D4"/>
    <w:rsid w:val="00414B88"/>
    <w:rsid w:val="00414D8F"/>
    <w:rsid w:val="00415C3D"/>
    <w:rsid w:val="004251BF"/>
    <w:rsid w:val="00442433"/>
    <w:rsid w:val="00444981"/>
    <w:rsid w:val="004460A7"/>
    <w:rsid w:val="00446AA6"/>
    <w:rsid w:val="00453F0C"/>
    <w:rsid w:val="0045568D"/>
    <w:rsid w:val="00456579"/>
    <w:rsid w:val="00462555"/>
    <w:rsid w:val="0046783B"/>
    <w:rsid w:val="004821AF"/>
    <w:rsid w:val="004866A1"/>
    <w:rsid w:val="00492506"/>
    <w:rsid w:val="00494339"/>
    <w:rsid w:val="004B15CA"/>
    <w:rsid w:val="004C39F4"/>
    <w:rsid w:val="004D2768"/>
    <w:rsid w:val="004D3185"/>
    <w:rsid w:val="004D3998"/>
    <w:rsid w:val="004E3CF7"/>
    <w:rsid w:val="004E6C12"/>
    <w:rsid w:val="004E7551"/>
    <w:rsid w:val="004E7A88"/>
    <w:rsid w:val="004F0D6C"/>
    <w:rsid w:val="004F1254"/>
    <w:rsid w:val="00500EB5"/>
    <w:rsid w:val="005025D7"/>
    <w:rsid w:val="0050448B"/>
    <w:rsid w:val="005058D9"/>
    <w:rsid w:val="0050748E"/>
    <w:rsid w:val="00512BC0"/>
    <w:rsid w:val="00524C97"/>
    <w:rsid w:val="00524D86"/>
    <w:rsid w:val="005308BB"/>
    <w:rsid w:val="00531D2D"/>
    <w:rsid w:val="0053309B"/>
    <w:rsid w:val="005350A8"/>
    <w:rsid w:val="00542F85"/>
    <w:rsid w:val="00543D10"/>
    <w:rsid w:val="005509F0"/>
    <w:rsid w:val="00554764"/>
    <w:rsid w:val="00556017"/>
    <w:rsid w:val="00557A62"/>
    <w:rsid w:val="00570E98"/>
    <w:rsid w:val="00573396"/>
    <w:rsid w:val="00584FD8"/>
    <w:rsid w:val="00590F6D"/>
    <w:rsid w:val="005957BE"/>
    <w:rsid w:val="005A3742"/>
    <w:rsid w:val="005B0DFA"/>
    <w:rsid w:val="005B2AD0"/>
    <w:rsid w:val="005C2F26"/>
    <w:rsid w:val="005D2D4F"/>
    <w:rsid w:val="005D4432"/>
    <w:rsid w:val="005D4AC0"/>
    <w:rsid w:val="005D6E37"/>
    <w:rsid w:val="005E07C6"/>
    <w:rsid w:val="005E266E"/>
    <w:rsid w:val="005E3A5F"/>
    <w:rsid w:val="005E4A50"/>
    <w:rsid w:val="005E4B75"/>
    <w:rsid w:val="005F0081"/>
    <w:rsid w:val="005F4F34"/>
    <w:rsid w:val="0060078D"/>
    <w:rsid w:val="00601C8A"/>
    <w:rsid w:val="006054A1"/>
    <w:rsid w:val="00606937"/>
    <w:rsid w:val="00613E25"/>
    <w:rsid w:val="00624AA5"/>
    <w:rsid w:val="00626968"/>
    <w:rsid w:val="00630A5F"/>
    <w:rsid w:val="006330B3"/>
    <w:rsid w:val="00636547"/>
    <w:rsid w:val="00640547"/>
    <w:rsid w:val="00645E44"/>
    <w:rsid w:val="00646D4C"/>
    <w:rsid w:val="00650C8F"/>
    <w:rsid w:val="00654B63"/>
    <w:rsid w:val="006709E6"/>
    <w:rsid w:val="00671013"/>
    <w:rsid w:val="00674287"/>
    <w:rsid w:val="00676501"/>
    <w:rsid w:val="00690D0A"/>
    <w:rsid w:val="00693F0D"/>
    <w:rsid w:val="00697F6B"/>
    <w:rsid w:val="006A0A85"/>
    <w:rsid w:val="006A111B"/>
    <w:rsid w:val="006B335E"/>
    <w:rsid w:val="006C0602"/>
    <w:rsid w:val="006D085D"/>
    <w:rsid w:val="006E44CF"/>
    <w:rsid w:val="006E4F3D"/>
    <w:rsid w:val="006E57A1"/>
    <w:rsid w:val="006E606A"/>
    <w:rsid w:val="006F3844"/>
    <w:rsid w:val="006F592C"/>
    <w:rsid w:val="007016C3"/>
    <w:rsid w:val="007019BE"/>
    <w:rsid w:val="007043E3"/>
    <w:rsid w:val="007045E9"/>
    <w:rsid w:val="00711956"/>
    <w:rsid w:val="007239C3"/>
    <w:rsid w:val="00724F8D"/>
    <w:rsid w:val="00726FC6"/>
    <w:rsid w:val="0073156C"/>
    <w:rsid w:val="00735391"/>
    <w:rsid w:val="00740709"/>
    <w:rsid w:val="00740D3B"/>
    <w:rsid w:val="0074148B"/>
    <w:rsid w:val="0074254B"/>
    <w:rsid w:val="00742ABD"/>
    <w:rsid w:val="007532D8"/>
    <w:rsid w:val="007543C8"/>
    <w:rsid w:val="007548C7"/>
    <w:rsid w:val="0077171B"/>
    <w:rsid w:val="0077202A"/>
    <w:rsid w:val="007806BB"/>
    <w:rsid w:val="00782092"/>
    <w:rsid w:val="00790FE4"/>
    <w:rsid w:val="0079401B"/>
    <w:rsid w:val="007A0C1E"/>
    <w:rsid w:val="007A47B5"/>
    <w:rsid w:val="007A692F"/>
    <w:rsid w:val="007A7116"/>
    <w:rsid w:val="007B26E2"/>
    <w:rsid w:val="007C1DDE"/>
    <w:rsid w:val="007C33DC"/>
    <w:rsid w:val="007C550D"/>
    <w:rsid w:val="007C6799"/>
    <w:rsid w:val="007D33EE"/>
    <w:rsid w:val="007D5A16"/>
    <w:rsid w:val="007D7B16"/>
    <w:rsid w:val="007E18B9"/>
    <w:rsid w:val="007E26A3"/>
    <w:rsid w:val="007F6251"/>
    <w:rsid w:val="007F7400"/>
    <w:rsid w:val="00805280"/>
    <w:rsid w:val="00807896"/>
    <w:rsid w:val="00817355"/>
    <w:rsid w:val="00817A24"/>
    <w:rsid w:val="00821142"/>
    <w:rsid w:val="008251CB"/>
    <w:rsid w:val="0082578D"/>
    <w:rsid w:val="00826589"/>
    <w:rsid w:val="0083465C"/>
    <w:rsid w:val="00842BD3"/>
    <w:rsid w:val="008431A4"/>
    <w:rsid w:val="008508F7"/>
    <w:rsid w:val="008522AE"/>
    <w:rsid w:val="00854663"/>
    <w:rsid w:val="0086078E"/>
    <w:rsid w:val="00863E63"/>
    <w:rsid w:val="00866297"/>
    <w:rsid w:val="00872C64"/>
    <w:rsid w:val="00873778"/>
    <w:rsid w:val="00875350"/>
    <w:rsid w:val="0087627C"/>
    <w:rsid w:val="0087665E"/>
    <w:rsid w:val="00876BFE"/>
    <w:rsid w:val="008802EB"/>
    <w:rsid w:val="00880FA8"/>
    <w:rsid w:val="008828A0"/>
    <w:rsid w:val="00886638"/>
    <w:rsid w:val="008872E2"/>
    <w:rsid w:val="0089340B"/>
    <w:rsid w:val="008A0A8D"/>
    <w:rsid w:val="008A36A2"/>
    <w:rsid w:val="008A67CF"/>
    <w:rsid w:val="008B06F9"/>
    <w:rsid w:val="008B75A8"/>
    <w:rsid w:val="008C0231"/>
    <w:rsid w:val="008C185C"/>
    <w:rsid w:val="008C28A2"/>
    <w:rsid w:val="008C3128"/>
    <w:rsid w:val="008C6192"/>
    <w:rsid w:val="008D3D88"/>
    <w:rsid w:val="008D3E0F"/>
    <w:rsid w:val="008E5DB9"/>
    <w:rsid w:val="008E7D20"/>
    <w:rsid w:val="008F166D"/>
    <w:rsid w:val="00900D37"/>
    <w:rsid w:val="0090530B"/>
    <w:rsid w:val="00905917"/>
    <w:rsid w:val="00910E0D"/>
    <w:rsid w:val="00911810"/>
    <w:rsid w:val="009144B8"/>
    <w:rsid w:val="00914B54"/>
    <w:rsid w:val="00917179"/>
    <w:rsid w:val="00920129"/>
    <w:rsid w:val="0092180D"/>
    <w:rsid w:val="00924B89"/>
    <w:rsid w:val="00936B03"/>
    <w:rsid w:val="009407BF"/>
    <w:rsid w:val="00945F3F"/>
    <w:rsid w:val="009474A0"/>
    <w:rsid w:val="00954D74"/>
    <w:rsid w:val="00956F9A"/>
    <w:rsid w:val="00957636"/>
    <w:rsid w:val="00962681"/>
    <w:rsid w:val="00971FD2"/>
    <w:rsid w:val="00972C4F"/>
    <w:rsid w:val="00973E6B"/>
    <w:rsid w:val="0097452E"/>
    <w:rsid w:val="009778BB"/>
    <w:rsid w:val="00977A07"/>
    <w:rsid w:val="009803F7"/>
    <w:rsid w:val="0098373C"/>
    <w:rsid w:val="00986E04"/>
    <w:rsid w:val="00991642"/>
    <w:rsid w:val="0099302B"/>
    <w:rsid w:val="00997B58"/>
    <w:rsid w:val="009A2F57"/>
    <w:rsid w:val="009B10E8"/>
    <w:rsid w:val="009B4ECD"/>
    <w:rsid w:val="009B795B"/>
    <w:rsid w:val="009B795E"/>
    <w:rsid w:val="009C09E9"/>
    <w:rsid w:val="009C1E38"/>
    <w:rsid w:val="009C5167"/>
    <w:rsid w:val="009C5F45"/>
    <w:rsid w:val="009C6334"/>
    <w:rsid w:val="009C7AC4"/>
    <w:rsid w:val="009D2D9B"/>
    <w:rsid w:val="009D577A"/>
    <w:rsid w:val="009E2079"/>
    <w:rsid w:val="009E48ED"/>
    <w:rsid w:val="009E4D3D"/>
    <w:rsid w:val="009F10CF"/>
    <w:rsid w:val="009F2ABC"/>
    <w:rsid w:val="009F3862"/>
    <w:rsid w:val="009F62EC"/>
    <w:rsid w:val="00A13CF5"/>
    <w:rsid w:val="00A17CB0"/>
    <w:rsid w:val="00A20DDA"/>
    <w:rsid w:val="00A2361B"/>
    <w:rsid w:val="00A31473"/>
    <w:rsid w:val="00A35782"/>
    <w:rsid w:val="00A40C16"/>
    <w:rsid w:val="00A50E18"/>
    <w:rsid w:val="00A5373B"/>
    <w:rsid w:val="00A54993"/>
    <w:rsid w:val="00A55E00"/>
    <w:rsid w:val="00A56EB6"/>
    <w:rsid w:val="00A60473"/>
    <w:rsid w:val="00A621A4"/>
    <w:rsid w:val="00A73C1E"/>
    <w:rsid w:val="00A7523E"/>
    <w:rsid w:val="00A8273A"/>
    <w:rsid w:val="00A83BE3"/>
    <w:rsid w:val="00A87687"/>
    <w:rsid w:val="00A87D57"/>
    <w:rsid w:val="00A87EA8"/>
    <w:rsid w:val="00A959F5"/>
    <w:rsid w:val="00AA0009"/>
    <w:rsid w:val="00AA02B8"/>
    <w:rsid w:val="00AA63B6"/>
    <w:rsid w:val="00AB0CD7"/>
    <w:rsid w:val="00AB0DB4"/>
    <w:rsid w:val="00AB2315"/>
    <w:rsid w:val="00AD27E8"/>
    <w:rsid w:val="00AD45CF"/>
    <w:rsid w:val="00AD6AB3"/>
    <w:rsid w:val="00AD7B30"/>
    <w:rsid w:val="00AE007B"/>
    <w:rsid w:val="00AE0F9E"/>
    <w:rsid w:val="00AE1F7E"/>
    <w:rsid w:val="00AE403B"/>
    <w:rsid w:val="00AE7192"/>
    <w:rsid w:val="00AE72E9"/>
    <w:rsid w:val="00AE7ACE"/>
    <w:rsid w:val="00AF6286"/>
    <w:rsid w:val="00B106A6"/>
    <w:rsid w:val="00B13981"/>
    <w:rsid w:val="00B33ABC"/>
    <w:rsid w:val="00B344C6"/>
    <w:rsid w:val="00B37B65"/>
    <w:rsid w:val="00B43D07"/>
    <w:rsid w:val="00B521C1"/>
    <w:rsid w:val="00B60587"/>
    <w:rsid w:val="00B60CC0"/>
    <w:rsid w:val="00B643BD"/>
    <w:rsid w:val="00B647B7"/>
    <w:rsid w:val="00B64BA1"/>
    <w:rsid w:val="00B700AB"/>
    <w:rsid w:val="00B75066"/>
    <w:rsid w:val="00B77024"/>
    <w:rsid w:val="00B80F44"/>
    <w:rsid w:val="00B8125A"/>
    <w:rsid w:val="00B82624"/>
    <w:rsid w:val="00B8613A"/>
    <w:rsid w:val="00B918B2"/>
    <w:rsid w:val="00B92DAB"/>
    <w:rsid w:val="00B931AC"/>
    <w:rsid w:val="00BA4C44"/>
    <w:rsid w:val="00BA53C1"/>
    <w:rsid w:val="00BB621C"/>
    <w:rsid w:val="00BB78D4"/>
    <w:rsid w:val="00BC2E0D"/>
    <w:rsid w:val="00BD1C71"/>
    <w:rsid w:val="00BD4FEE"/>
    <w:rsid w:val="00BD6C1B"/>
    <w:rsid w:val="00BD7CDA"/>
    <w:rsid w:val="00BE4C2A"/>
    <w:rsid w:val="00BE6C76"/>
    <w:rsid w:val="00BF2497"/>
    <w:rsid w:val="00BF6142"/>
    <w:rsid w:val="00C023FB"/>
    <w:rsid w:val="00C12F9D"/>
    <w:rsid w:val="00C14E09"/>
    <w:rsid w:val="00C169D0"/>
    <w:rsid w:val="00C31998"/>
    <w:rsid w:val="00C379E4"/>
    <w:rsid w:val="00C405C5"/>
    <w:rsid w:val="00C406A2"/>
    <w:rsid w:val="00C47A07"/>
    <w:rsid w:val="00C54255"/>
    <w:rsid w:val="00C63255"/>
    <w:rsid w:val="00C84483"/>
    <w:rsid w:val="00C849C0"/>
    <w:rsid w:val="00C87F47"/>
    <w:rsid w:val="00C91EE7"/>
    <w:rsid w:val="00C96252"/>
    <w:rsid w:val="00CA1C26"/>
    <w:rsid w:val="00CA26C3"/>
    <w:rsid w:val="00CB0D1E"/>
    <w:rsid w:val="00CB79B0"/>
    <w:rsid w:val="00CC0CC7"/>
    <w:rsid w:val="00CC4CA6"/>
    <w:rsid w:val="00CC74F1"/>
    <w:rsid w:val="00CD0F71"/>
    <w:rsid w:val="00CD4210"/>
    <w:rsid w:val="00CD5549"/>
    <w:rsid w:val="00CD64B9"/>
    <w:rsid w:val="00CD6B46"/>
    <w:rsid w:val="00CD79C8"/>
    <w:rsid w:val="00CE0E41"/>
    <w:rsid w:val="00CE1967"/>
    <w:rsid w:val="00CE2066"/>
    <w:rsid w:val="00CE22CB"/>
    <w:rsid w:val="00CE55FE"/>
    <w:rsid w:val="00CE6109"/>
    <w:rsid w:val="00CF3879"/>
    <w:rsid w:val="00CF419D"/>
    <w:rsid w:val="00CF7F83"/>
    <w:rsid w:val="00D024CC"/>
    <w:rsid w:val="00D10061"/>
    <w:rsid w:val="00D11259"/>
    <w:rsid w:val="00D132A7"/>
    <w:rsid w:val="00D3007B"/>
    <w:rsid w:val="00D43BEB"/>
    <w:rsid w:val="00D54322"/>
    <w:rsid w:val="00D5499A"/>
    <w:rsid w:val="00D56467"/>
    <w:rsid w:val="00D56594"/>
    <w:rsid w:val="00D62BF1"/>
    <w:rsid w:val="00D70F9B"/>
    <w:rsid w:val="00D72E13"/>
    <w:rsid w:val="00D74E37"/>
    <w:rsid w:val="00D75DDD"/>
    <w:rsid w:val="00D761E5"/>
    <w:rsid w:val="00D7655A"/>
    <w:rsid w:val="00D80B2C"/>
    <w:rsid w:val="00D84693"/>
    <w:rsid w:val="00D91326"/>
    <w:rsid w:val="00D942A8"/>
    <w:rsid w:val="00DA0B58"/>
    <w:rsid w:val="00DB14D0"/>
    <w:rsid w:val="00DC2289"/>
    <w:rsid w:val="00DD3839"/>
    <w:rsid w:val="00DD4183"/>
    <w:rsid w:val="00DE0411"/>
    <w:rsid w:val="00DE68DE"/>
    <w:rsid w:val="00DE773E"/>
    <w:rsid w:val="00DF061F"/>
    <w:rsid w:val="00DF734C"/>
    <w:rsid w:val="00E0391F"/>
    <w:rsid w:val="00E06E13"/>
    <w:rsid w:val="00E077D3"/>
    <w:rsid w:val="00E12309"/>
    <w:rsid w:val="00E14810"/>
    <w:rsid w:val="00E1700E"/>
    <w:rsid w:val="00E177D4"/>
    <w:rsid w:val="00E219B8"/>
    <w:rsid w:val="00E243BF"/>
    <w:rsid w:val="00E24DCD"/>
    <w:rsid w:val="00E265D0"/>
    <w:rsid w:val="00E308A2"/>
    <w:rsid w:val="00E33D42"/>
    <w:rsid w:val="00E376B0"/>
    <w:rsid w:val="00E43C0C"/>
    <w:rsid w:val="00E50C48"/>
    <w:rsid w:val="00E703FF"/>
    <w:rsid w:val="00E74624"/>
    <w:rsid w:val="00E9269A"/>
    <w:rsid w:val="00EA28F3"/>
    <w:rsid w:val="00EA3BDF"/>
    <w:rsid w:val="00EA4555"/>
    <w:rsid w:val="00EA4771"/>
    <w:rsid w:val="00EA6BDD"/>
    <w:rsid w:val="00EB0011"/>
    <w:rsid w:val="00EB17F7"/>
    <w:rsid w:val="00EB1DFD"/>
    <w:rsid w:val="00EB574B"/>
    <w:rsid w:val="00EB5FCB"/>
    <w:rsid w:val="00EC437B"/>
    <w:rsid w:val="00EC5829"/>
    <w:rsid w:val="00ED2258"/>
    <w:rsid w:val="00EE435F"/>
    <w:rsid w:val="00EF12F2"/>
    <w:rsid w:val="00EF46AE"/>
    <w:rsid w:val="00F057CC"/>
    <w:rsid w:val="00F1074B"/>
    <w:rsid w:val="00F14610"/>
    <w:rsid w:val="00F17B0B"/>
    <w:rsid w:val="00F17C5A"/>
    <w:rsid w:val="00F23F76"/>
    <w:rsid w:val="00F26461"/>
    <w:rsid w:val="00F308FF"/>
    <w:rsid w:val="00F44A1C"/>
    <w:rsid w:val="00F73C7A"/>
    <w:rsid w:val="00F768D8"/>
    <w:rsid w:val="00F77D28"/>
    <w:rsid w:val="00F83C73"/>
    <w:rsid w:val="00F85DA2"/>
    <w:rsid w:val="00F91746"/>
    <w:rsid w:val="00F93FFA"/>
    <w:rsid w:val="00F95450"/>
    <w:rsid w:val="00F95A03"/>
    <w:rsid w:val="00FA0895"/>
    <w:rsid w:val="00FA0896"/>
    <w:rsid w:val="00FA5D5C"/>
    <w:rsid w:val="00FC0BC6"/>
    <w:rsid w:val="00FC3892"/>
    <w:rsid w:val="00FC478F"/>
    <w:rsid w:val="00FD0606"/>
    <w:rsid w:val="00FD0ACB"/>
    <w:rsid w:val="00FD3606"/>
    <w:rsid w:val="00FD4B96"/>
    <w:rsid w:val="00FD5080"/>
    <w:rsid w:val="00FD7FB0"/>
    <w:rsid w:val="00FE05CE"/>
    <w:rsid w:val="00FE0FA1"/>
    <w:rsid w:val="00FE4A11"/>
    <w:rsid w:val="00FE6175"/>
    <w:rsid w:val="00FE6648"/>
    <w:rsid w:val="00FF3BA8"/>
    <w:rsid w:val="00FF438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FA6FE5"/>
  <w15:docId w15:val="{613270A6-8A00-4ADA-86CC-AFC5AADD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2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4"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5D2D4F"/>
  </w:style>
  <w:style w:type="paragraph" w:styleId="berschrift1">
    <w:name w:val="heading 1"/>
    <w:basedOn w:val="Standard"/>
    <w:next w:val="Standard"/>
    <w:link w:val="berschrift1Zchn"/>
    <w:qFormat/>
    <w:rsid w:val="004D2768"/>
    <w:pPr>
      <w:keepNext/>
      <w:keepLines/>
      <w:numPr>
        <w:numId w:val="1"/>
      </w:numPr>
      <w:spacing w:before="120" w:after="6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qFormat/>
    <w:rsid w:val="00CE0E41"/>
    <w:pPr>
      <w:keepNext/>
      <w:keepLines/>
      <w:numPr>
        <w:ilvl w:val="1"/>
        <w:numId w:val="1"/>
      </w:numPr>
      <w:spacing w:before="120" w:after="60"/>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qFormat/>
    <w:rsid w:val="004D2768"/>
    <w:pPr>
      <w:keepNext/>
      <w:keepLines/>
      <w:numPr>
        <w:ilvl w:val="2"/>
        <w:numId w:val="1"/>
      </w:numPr>
      <w:spacing w:before="120" w:after="60"/>
      <w:outlineLvl w:val="2"/>
    </w:pPr>
    <w:rPr>
      <w:rFonts w:asciiTheme="majorHAnsi" w:eastAsiaTheme="majorEastAsia" w:hAnsiTheme="majorHAnsi" w:cstheme="majorBidi"/>
      <w:b/>
      <w:bCs/>
    </w:rPr>
  </w:style>
  <w:style w:type="paragraph" w:styleId="berschrift4">
    <w:name w:val="heading 4"/>
    <w:basedOn w:val="Standard"/>
    <w:next w:val="Standard"/>
    <w:link w:val="berschrift4Zchn"/>
    <w:qFormat/>
    <w:rsid w:val="00321F80"/>
    <w:pPr>
      <w:keepNext/>
      <w:keepLines/>
      <w:spacing w:before="120" w:after="60"/>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semiHidden/>
    <w:qFormat/>
    <w:rsid w:val="004D2768"/>
    <w:pPr>
      <w:keepNext/>
      <w:keepLines/>
      <w:numPr>
        <w:ilvl w:val="4"/>
        <w:numId w:val="1"/>
      </w:numPr>
      <w:spacing w:before="200" w:after="0"/>
      <w:outlineLvl w:val="4"/>
    </w:pPr>
    <w:rPr>
      <w:rFonts w:asciiTheme="majorHAnsi" w:eastAsiaTheme="majorEastAsia" w:hAnsiTheme="majorHAnsi" w:cstheme="majorBidi"/>
      <w:color w:val="1E2A43" w:themeColor="accent1" w:themeShade="7F"/>
    </w:rPr>
  </w:style>
  <w:style w:type="paragraph" w:styleId="berschrift6">
    <w:name w:val="heading 6"/>
    <w:basedOn w:val="Standard"/>
    <w:next w:val="Standard"/>
    <w:link w:val="berschrift6Zchn"/>
    <w:qFormat/>
    <w:rsid w:val="004D2768"/>
    <w:pPr>
      <w:keepNext/>
      <w:keepLines/>
      <w:numPr>
        <w:ilvl w:val="5"/>
        <w:numId w:val="1"/>
      </w:numPr>
      <w:spacing w:before="200" w:after="0"/>
      <w:outlineLvl w:val="5"/>
    </w:pPr>
    <w:rPr>
      <w:rFonts w:asciiTheme="majorHAnsi" w:eastAsiaTheme="majorEastAsia" w:hAnsiTheme="majorHAnsi" w:cstheme="majorBidi"/>
      <w:i/>
      <w:iCs/>
      <w:color w:val="1E2A43" w:themeColor="accent1" w:themeShade="7F"/>
    </w:rPr>
  </w:style>
  <w:style w:type="paragraph" w:styleId="berschrift7">
    <w:name w:val="heading 7"/>
    <w:basedOn w:val="Standard"/>
    <w:next w:val="Standard"/>
    <w:link w:val="berschrift7Zchn"/>
    <w:semiHidden/>
    <w:qFormat/>
    <w:rsid w:val="004D2768"/>
    <w:pPr>
      <w:keepNext/>
      <w:keepLines/>
      <w:numPr>
        <w:ilvl w:val="6"/>
        <w:numId w:val="1"/>
      </w:numPr>
      <w:spacing w:before="200" w:after="0"/>
      <w:outlineLvl w:val="6"/>
    </w:pPr>
    <w:rPr>
      <w:rFonts w:asciiTheme="majorHAnsi" w:eastAsiaTheme="majorEastAsia" w:hAnsiTheme="majorHAnsi" w:cstheme="majorBidi"/>
      <w:i/>
      <w:iCs/>
      <w:color w:val="5B79B6" w:themeColor="text1" w:themeTint="BF"/>
    </w:rPr>
  </w:style>
  <w:style w:type="paragraph" w:styleId="berschrift8">
    <w:name w:val="heading 8"/>
    <w:basedOn w:val="Standard"/>
    <w:next w:val="Standard"/>
    <w:link w:val="berschrift8Zchn"/>
    <w:semiHidden/>
    <w:qFormat/>
    <w:rsid w:val="004D2768"/>
    <w:pPr>
      <w:keepNext/>
      <w:keepLines/>
      <w:numPr>
        <w:ilvl w:val="7"/>
        <w:numId w:val="1"/>
      </w:numPr>
      <w:spacing w:before="200" w:after="0"/>
      <w:outlineLvl w:val="7"/>
    </w:pPr>
    <w:rPr>
      <w:rFonts w:asciiTheme="majorHAnsi" w:eastAsiaTheme="majorEastAsia" w:hAnsiTheme="majorHAnsi" w:cstheme="majorBidi"/>
      <w:color w:val="5B79B6" w:themeColor="text1" w:themeTint="BF"/>
      <w:sz w:val="20"/>
      <w:szCs w:val="20"/>
    </w:rPr>
  </w:style>
  <w:style w:type="paragraph" w:styleId="berschrift9">
    <w:name w:val="heading 9"/>
    <w:basedOn w:val="Standard"/>
    <w:next w:val="Standard"/>
    <w:link w:val="berschrift9Zchn"/>
    <w:semiHidden/>
    <w:qFormat/>
    <w:rsid w:val="004D2768"/>
    <w:pPr>
      <w:keepNext/>
      <w:keepLines/>
      <w:numPr>
        <w:ilvl w:val="8"/>
        <w:numId w:val="1"/>
      </w:numPr>
      <w:spacing w:before="200" w:after="0"/>
      <w:outlineLvl w:val="8"/>
    </w:pPr>
    <w:rPr>
      <w:rFonts w:asciiTheme="majorHAnsi" w:eastAsiaTheme="majorEastAsia" w:hAnsiTheme="majorHAnsi" w:cstheme="majorBidi"/>
      <w:i/>
      <w:iCs/>
      <w:color w:val="5B79B6"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C4580"/>
    <w:pPr>
      <w:spacing w:after="0"/>
    </w:pPr>
  </w:style>
  <w:style w:type="paragraph" w:customStyle="1" w:styleId="TitelBetreff11pt">
    <w:name w:val="Titel Betreff 11pt"/>
    <w:basedOn w:val="Standard"/>
    <w:uiPriority w:val="3"/>
    <w:qFormat/>
    <w:rsid w:val="003C4580"/>
    <w:pPr>
      <w:spacing w:before="120" w:after="60"/>
    </w:pPr>
    <w:rPr>
      <w:b/>
    </w:rPr>
  </w:style>
  <w:style w:type="paragraph" w:styleId="Titel">
    <w:name w:val="Title"/>
    <w:basedOn w:val="Standard"/>
    <w:next w:val="Standard"/>
    <w:link w:val="TitelZchn"/>
    <w:uiPriority w:val="4"/>
    <w:qFormat/>
    <w:rsid w:val="00245BC0"/>
    <w:pPr>
      <w:spacing w:before="120" w:after="60"/>
      <w:contextualSpacing/>
    </w:pPr>
    <w:rPr>
      <w:rFonts w:asciiTheme="majorHAnsi" w:eastAsiaTheme="majorEastAsia" w:hAnsiTheme="majorHAnsi" w:cstheme="majorBidi"/>
      <w:b/>
      <w:color w:val="000000" w:themeColor="text2" w:themeShade="BF"/>
      <w:kern w:val="28"/>
      <w:sz w:val="32"/>
      <w:szCs w:val="52"/>
    </w:rPr>
  </w:style>
  <w:style w:type="character" w:customStyle="1" w:styleId="TitelZchn">
    <w:name w:val="Titel Zchn"/>
    <w:basedOn w:val="Absatz-Standardschriftart"/>
    <w:link w:val="Titel"/>
    <w:uiPriority w:val="4"/>
    <w:rsid w:val="00245BC0"/>
    <w:rPr>
      <w:rFonts w:asciiTheme="majorHAnsi" w:eastAsiaTheme="majorEastAsia" w:hAnsiTheme="majorHAnsi" w:cstheme="majorBidi"/>
      <w:b/>
      <w:color w:val="000000" w:themeColor="text2" w:themeShade="BF"/>
      <w:kern w:val="28"/>
      <w:sz w:val="32"/>
      <w:szCs w:val="52"/>
    </w:rPr>
  </w:style>
  <w:style w:type="paragraph" w:styleId="Untertitel">
    <w:name w:val="Subtitle"/>
    <w:basedOn w:val="Standard"/>
    <w:next w:val="Standard"/>
    <w:link w:val="UntertitelZchn"/>
    <w:uiPriority w:val="5"/>
    <w:qFormat/>
    <w:rsid w:val="00CE0E41"/>
    <w:pPr>
      <w:numPr>
        <w:ilvl w:val="1"/>
      </w:numPr>
      <w:spacing w:before="120" w:after="60"/>
    </w:pPr>
    <w:rPr>
      <w:rFonts w:asciiTheme="majorHAnsi" w:eastAsiaTheme="majorEastAsia" w:hAnsiTheme="majorHAnsi" w:cstheme="majorBidi"/>
      <w:b/>
      <w:iCs/>
      <w:sz w:val="26"/>
      <w:szCs w:val="24"/>
    </w:rPr>
  </w:style>
  <w:style w:type="character" w:customStyle="1" w:styleId="UntertitelZchn">
    <w:name w:val="Untertitel Zchn"/>
    <w:basedOn w:val="Absatz-Standardschriftart"/>
    <w:link w:val="Untertitel"/>
    <w:uiPriority w:val="5"/>
    <w:rsid w:val="00CE0E41"/>
    <w:rPr>
      <w:rFonts w:asciiTheme="majorHAnsi" w:eastAsiaTheme="majorEastAsia" w:hAnsiTheme="majorHAnsi" w:cstheme="majorBidi"/>
      <w:b/>
      <w:iCs/>
      <w:sz w:val="26"/>
      <w:szCs w:val="24"/>
    </w:rPr>
  </w:style>
  <w:style w:type="paragraph" w:customStyle="1" w:styleId="Aufzhlungszeichenfr1Ebene">
    <w:name w:val="Aufzählungszeichen für 1 Ebene"/>
    <w:basedOn w:val="Standard"/>
    <w:uiPriority w:val="2"/>
    <w:qFormat/>
    <w:rsid w:val="009407BF"/>
    <w:pPr>
      <w:numPr>
        <w:numId w:val="5"/>
      </w:numPr>
      <w:ind w:left="426" w:hanging="284"/>
      <w:contextualSpacing/>
    </w:pPr>
  </w:style>
  <w:style w:type="character" w:customStyle="1" w:styleId="berschrift1Zchn">
    <w:name w:val="Überschrift 1 Zchn"/>
    <w:basedOn w:val="Absatz-Standardschriftart"/>
    <w:link w:val="berschrift1"/>
    <w:rsid w:val="004D2768"/>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rsid w:val="00CE0E41"/>
    <w:rPr>
      <w:rFonts w:asciiTheme="majorHAnsi" w:eastAsiaTheme="majorEastAsia" w:hAnsiTheme="majorHAnsi" w:cstheme="majorBidi"/>
      <w:b/>
      <w:bCs/>
      <w:sz w:val="24"/>
      <w:szCs w:val="26"/>
    </w:rPr>
  </w:style>
  <w:style w:type="character" w:customStyle="1" w:styleId="berschrift3Zchn">
    <w:name w:val="Überschrift 3 Zchn"/>
    <w:basedOn w:val="Absatz-Standardschriftart"/>
    <w:link w:val="berschrift3"/>
    <w:rsid w:val="00321F80"/>
    <w:rPr>
      <w:rFonts w:asciiTheme="majorHAnsi" w:eastAsiaTheme="majorEastAsia" w:hAnsiTheme="majorHAnsi" w:cstheme="majorBidi"/>
      <w:b/>
      <w:bCs/>
    </w:rPr>
  </w:style>
  <w:style w:type="character" w:customStyle="1" w:styleId="berschrift4Zchn">
    <w:name w:val="Überschrift 4 Zchn"/>
    <w:basedOn w:val="Absatz-Standardschriftart"/>
    <w:link w:val="berschrift4"/>
    <w:rsid w:val="00321F80"/>
    <w:rPr>
      <w:rFonts w:asciiTheme="majorHAnsi" w:eastAsiaTheme="majorEastAsia" w:hAnsiTheme="majorHAnsi" w:cstheme="majorBidi"/>
      <w:b/>
      <w:bCs/>
      <w:iCs/>
    </w:rPr>
  </w:style>
  <w:style w:type="character" w:customStyle="1" w:styleId="berschrift5Zchn">
    <w:name w:val="Überschrift 5 Zchn"/>
    <w:basedOn w:val="Absatz-Standardschriftart"/>
    <w:link w:val="berschrift5"/>
    <w:semiHidden/>
    <w:rsid w:val="00321F80"/>
    <w:rPr>
      <w:rFonts w:asciiTheme="majorHAnsi" w:eastAsiaTheme="majorEastAsia" w:hAnsiTheme="majorHAnsi" w:cstheme="majorBidi"/>
      <w:color w:val="1E2A43" w:themeColor="accent1" w:themeShade="7F"/>
    </w:rPr>
  </w:style>
  <w:style w:type="character" w:customStyle="1" w:styleId="berschrift6Zchn">
    <w:name w:val="Überschrift 6 Zchn"/>
    <w:basedOn w:val="Absatz-Standardschriftart"/>
    <w:link w:val="berschrift6"/>
    <w:rsid w:val="00321F80"/>
    <w:rPr>
      <w:rFonts w:asciiTheme="majorHAnsi" w:eastAsiaTheme="majorEastAsia" w:hAnsiTheme="majorHAnsi" w:cstheme="majorBidi"/>
      <w:i/>
      <w:iCs/>
      <w:color w:val="1E2A43" w:themeColor="accent1" w:themeShade="7F"/>
    </w:rPr>
  </w:style>
  <w:style w:type="character" w:customStyle="1" w:styleId="berschrift7Zchn">
    <w:name w:val="Überschrift 7 Zchn"/>
    <w:basedOn w:val="Absatz-Standardschriftart"/>
    <w:link w:val="berschrift7"/>
    <w:semiHidden/>
    <w:rsid w:val="00321F80"/>
    <w:rPr>
      <w:rFonts w:asciiTheme="majorHAnsi" w:eastAsiaTheme="majorEastAsia" w:hAnsiTheme="majorHAnsi" w:cstheme="majorBidi"/>
      <w:i/>
      <w:iCs/>
      <w:color w:val="5B79B6" w:themeColor="text1" w:themeTint="BF"/>
    </w:rPr>
  </w:style>
  <w:style w:type="character" w:customStyle="1" w:styleId="berschrift8Zchn">
    <w:name w:val="Überschrift 8 Zchn"/>
    <w:basedOn w:val="Absatz-Standardschriftart"/>
    <w:link w:val="berschrift8"/>
    <w:semiHidden/>
    <w:rsid w:val="00321F80"/>
    <w:rPr>
      <w:rFonts w:asciiTheme="majorHAnsi" w:eastAsiaTheme="majorEastAsia" w:hAnsiTheme="majorHAnsi" w:cstheme="majorBidi"/>
      <w:color w:val="5B79B6" w:themeColor="text1" w:themeTint="BF"/>
      <w:sz w:val="20"/>
      <w:szCs w:val="20"/>
    </w:rPr>
  </w:style>
  <w:style w:type="character" w:customStyle="1" w:styleId="berschrift9Zchn">
    <w:name w:val="Überschrift 9 Zchn"/>
    <w:basedOn w:val="Absatz-Standardschriftart"/>
    <w:link w:val="berschrift9"/>
    <w:semiHidden/>
    <w:rsid w:val="00321F80"/>
    <w:rPr>
      <w:rFonts w:asciiTheme="majorHAnsi" w:eastAsiaTheme="majorEastAsia" w:hAnsiTheme="majorHAnsi" w:cstheme="majorBidi"/>
      <w:i/>
      <w:iCs/>
      <w:color w:val="5B79B6" w:themeColor="text1" w:themeTint="BF"/>
      <w:sz w:val="20"/>
      <w:szCs w:val="20"/>
    </w:rPr>
  </w:style>
  <w:style w:type="paragraph" w:styleId="Listenabsatz">
    <w:name w:val="List Paragraph"/>
    <w:basedOn w:val="Standard"/>
    <w:uiPriority w:val="34"/>
    <w:qFormat/>
    <w:rsid w:val="004D2768"/>
    <w:pPr>
      <w:contextualSpacing/>
    </w:pPr>
  </w:style>
  <w:style w:type="table" w:styleId="Tabellenraster">
    <w:name w:val="Table Grid"/>
    <w:basedOn w:val="NormaleTabelle"/>
    <w:uiPriority w:val="39"/>
    <w:rsid w:val="00A56E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MHTabelleohneRahmenlinien">
    <w:name w:val="FMH Tabelle ohne Rahmenlinien"/>
    <w:basedOn w:val="NormaleTabelle"/>
    <w:uiPriority w:val="99"/>
    <w:rsid w:val="00A56EB6"/>
    <w:pPr>
      <w:spacing w:after="0"/>
    </w:pPr>
    <w:tblPr>
      <w:tblCellMar>
        <w:left w:w="0" w:type="dxa"/>
        <w:right w:w="0" w:type="dxa"/>
      </w:tblCellMar>
    </w:tblPr>
  </w:style>
  <w:style w:type="table" w:customStyle="1" w:styleId="FMHRahmenlinienblau">
    <w:name w:val="FMH Rahmenlinien blau"/>
    <w:basedOn w:val="NormaleTabelle"/>
    <w:uiPriority w:val="99"/>
    <w:rsid w:val="00A56EB6"/>
    <w:pPr>
      <w:spacing w:after="0"/>
    </w:pPr>
    <w:tblPr>
      <w:tblBorders>
        <w:top w:val="single" w:sz="8" w:space="0" w:color="3C5587" w:themeColor="accent1"/>
        <w:left w:val="single" w:sz="8" w:space="0" w:color="3C5587" w:themeColor="accent1"/>
        <w:bottom w:val="single" w:sz="8" w:space="0" w:color="3C5587" w:themeColor="accent1"/>
        <w:right w:val="single" w:sz="8" w:space="0" w:color="3C5587" w:themeColor="accent1"/>
        <w:insideH w:val="single" w:sz="8" w:space="0" w:color="3C5587" w:themeColor="accent1"/>
        <w:insideV w:val="single" w:sz="8" w:space="0" w:color="3C5587" w:themeColor="accent1"/>
      </w:tblBorders>
    </w:tblPr>
  </w:style>
  <w:style w:type="table" w:styleId="HelleListe">
    <w:name w:val="Light List"/>
    <w:basedOn w:val="NormaleTabelle"/>
    <w:uiPriority w:val="61"/>
    <w:rsid w:val="00A56EB6"/>
    <w:pPr>
      <w:spacing w:after="0"/>
    </w:pPr>
    <w:tblPr>
      <w:tblStyleRowBandSize w:val="1"/>
      <w:tblStyleColBandSize w:val="1"/>
      <w:tblBorders>
        <w:top w:val="single" w:sz="8" w:space="0" w:color="3C5587" w:themeColor="text1"/>
        <w:left w:val="single" w:sz="8" w:space="0" w:color="3C5587" w:themeColor="text1"/>
        <w:bottom w:val="single" w:sz="8" w:space="0" w:color="3C5587" w:themeColor="text1"/>
        <w:right w:val="single" w:sz="8" w:space="0" w:color="3C5587" w:themeColor="text1"/>
      </w:tblBorders>
    </w:tblPr>
    <w:tblStylePr w:type="firstRow">
      <w:pPr>
        <w:spacing w:before="0" w:after="0" w:line="240" w:lineRule="auto"/>
      </w:pPr>
      <w:rPr>
        <w:b/>
        <w:bCs/>
        <w:color w:val="FFFFFF" w:themeColor="background1"/>
      </w:rPr>
      <w:tblPr/>
      <w:tcPr>
        <w:shd w:val="clear" w:color="auto" w:fill="3C5587" w:themeFill="text1"/>
      </w:tcPr>
    </w:tblStylePr>
    <w:tblStylePr w:type="lastRow">
      <w:pPr>
        <w:spacing w:before="0" w:after="0" w:line="240" w:lineRule="auto"/>
      </w:pPr>
      <w:rPr>
        <w:b/>
        <w:bCs/>
      </w:rPr>
      <w:tblPr/>
      <w:tcPr>
        <w:tcBorders>
          <w:top w:val="double" w:sz="6" w:space="0" w:color="3C5587" w:themeColor="text1"/>
          <w:left w:val="single" w:sz="8" w:space="0" w:color="3C5587" w:themeColor="text1"/>
          <w:bottom w:val="single" w:sz="8" w:space="0" w:color="3C5587" w:themeColor="text1"/>
          <w:right w:val="single" w:sz="8" w:space="0" w:color="3C5587" w:themeColor="text1"/>
        </w:tcBorders>
      </w:tcPr>
    </w:tblStylePr>
    <w:tblStylePr w:type="firstCol">
      <w:rPr>
        <w:b/>
        <w:bCs/>
      </w:rPr>
    </w:tblStylePr>
    <w:tblStylePr w:type="lastCol">
      <w:rPr>
        <w:b/>
        <w:bCs/>
      </w:rPr>
    </w:tblStylePr>
    <w:tblStylePr w:type="band1Vert">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tblStylePr w:type="band1Horz">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style>
  <w:style w:type="table" w:styleId="HelleListe-Akzent1">
    <w:name w:val="Light List Accent 1"/>
    <w:basedOn w:val="NormaleTabelle"/>
    <w:uiPriority w:val="61"/>
    <w:rsid w:val="00A56EB6"/>
    <w:pPr>
      <w:spacing w:after="0"/>
    </w:pPr>
    <w:tblPr>
      <w:tblStyleRowBandSize w:val="1"/>
      <w:tblStyleColBandSize w:val="1"/>
      <w:tblBorders>
        <w:top w:val="single" w:sz="8" w:space="0" w:color="3C5587" w:themeColor="accent1"/>
        <w:left w:val="single" w:sz="8" w:space="0" w:color="3C5587" w:themeColor="accent1"/>
        <w:bottom w:val="single" w:sz="8" w:space="0" w:color="3C5587" w:themeColor="accent1"/>
        <w:right w:val="single" w:sz="8" w:space="0" w:color="3C5587" w:themeColor="accent1"/>
      </w:tblBorders>
    </w:tblPr>
    <w:tblStylePr w:type="firstRow">
      <w:pPr>
        <w:spacing w:before="0" w:after="0" w:line="240" w:lineRule="auto"/>
      </w:pPr>
      <w:rPr>
        <w:b/>
        <w:bCs/>
        <w:color w:val="FFFFFF" w:themeColor="background1"/>
      </w:rPr>
      <w:tblPr/>
      <w:tcPr>
        <w:shd w:val="clear" w:color="auto" w:fill="3C5587" w:themeFill="accent1"/>
      </w:tcPr>
    </w:tblStylePr>
    <w:tblStylePr w:type="lastRow">
      <w:pPr>
        <w:spacing w:before="0" w:after="0" w:line="240" w:lineRule="auto"/>
      </w:pPr>
      <w:rPr>
        <w:b/>
        <w:bCs/>
      </w:rPr>
      <w:tblPr/>
      <w:tcPr>
        <w:tcBorders>
          <w:top w:val="double" w:sz="6" w:space="0" w:color="3C5587" w:themeColor="accent1"/>
          <w:left w:val="single" w:sz="8" w:space="0" w:color="3C5587" w:themeColor="accent1"/>
          <w:bottom w:val="single" w:sz="8" w:space="0" w:color="3C5587" w:themeColor="accent1"/>
          <w:right w:val="single" w:sz="8" w:space="0" w:color="3C5587" w:themeColor="accent1"/>
        </w:tcBorders>
      </w:tcPr>
    </w:tblStylePr>
    <w:tblStylePr w:type="firstCol">
      <w:rPr>
        <w:b/>
        <w:bCs/>
      </w:rPr>
    </w:tblStylePr>
    <w:tblStylePr w:type="lastCol">
      <w:rPr>
        <w:b/>
        <w:bCs/>
      </w:rPr>
    </w:tblStylePr>
    <w:tblStylePr w:type="band1Vert">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tblStylePr w:type="band1Horz">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style>
  <w:style w:type="table" w:styleId="HelleListe-Akzent3">
    <w:name w:val="Light List Accent 3"/>
    <w:basedOn w:val="NormaleTabelle"/>
    <w:uiPriority w:val="61"/>
    <w:rsid w:val="00A56EB6"/>
    <w:pPr>
      <w:spacing w:after="0"/>
    </w:pPr>
    <w:tblPr>
      <w:tblStyleRowBandSize w:val="1"/>
      <w:tblStyleColBandSize w:val="1"/>
      <w:tblBorders>
        <w:top w:val="single" w:sz="8" w:space="0" w:color="556473" w:themeColor="accent3"/>
        <w:left w:val="single" w:sz="8" w:space="0" w:color="556473" w:themeColor="accent3"/>
        <w:bottom w:val="single" w:sz="8" w:space="0" w:color="556473" w:themeColor="accent3"/>
        <w:right w:val="single" w:sz="8" w:space="0" w:color="556473" w:themeColor="accent3"/>
      </w:tblBorders>
    </w:tblPr>
    <w:tblStylePr w:type="firstRow">
      <w:pPr>
        <w:spacing w:before="0" w:after="0" w:line="240" w:lineRule="auto"/>
      </w:pPr>
      <w:rPr>
        <w:b/>
        <w:bCs/>
        <w:color w:val="FFFFFF" w:themeColor="background1"/>
      </w:rPr>
      <w:tblPr/>
      <w:tcPr>
        <w:shd w:val="clear" w:color="auto" w:fill="556473" w:themeFill="accent3"/>
      </w:tcPr>
    </w:tblStylePr>
    <w:tblStylePr w:type="lastRow">
      <w:pPr>
        <w:spacing w:before="0" w:after="0" w:line="240" w:lineRule="auto"/>
      </w:pPr>
      <w:rPr>
        <w:b/>
        <w:bCs/>
      </w:rPr>
      <w:tblPr/>
      <w:tcPr>
        <w:tcBorders>
          <w:top w:val="double" w:sz="6" w:space="0" w:color="556473" w:themeColor="accent3"/>
          <w:left w:val="single" w:sz="8" w:space="0" w:color="556473" w:themeColor="accent3"/>
          <w:bottom w:val="single" w:sz="8" w:space="0" w:color="556473" w:themeColor="accent3"/>
          <w:right w:val="single" w:sz="8" w:space="0" w:color="556473" w:themeColor="accent3"/>
        </w:tcBorders>
      </w:tcPr>
    </w:tblStylePr>
    <w:tblStylePr w:type="firstCol">
      <w:rPr>
        <w:b/>
        <w:bCs/>
      </w:rPr>
    </w:tblStylePr>
    <w:tblStylePr w:type="lastCol">
      <w:rPr>
        <w:b/>
        <w:bCs/>
      </w:rPr>
    </w:tblStylePr>
    <w:tblStylePr w:type="band1Vert">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tblStylePr w:type="band1Horz">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style>
  <w:style w:type="table" w:styleId="HelleSchattierung-Akzent5">
    <w:name w:val="Light Shading Accent 5"/>
    <w:basedOn w:val="NormaleTabelle"/>
    <w:uiPriority w:val="60"/>
    <w:rsid w:val="00A56EB6"/>
    <w:pPr>
      <w:spacing w:after="0"/>
    </w:pPr>
    <w:rPr>
      <w:color w:val="797150" w:themeColor="accent5" w:themeShade="BF"/>
    </w:rPr>
    <w:tblPr>
      <w:tblStyleRowBandSize w:val="1"/>
      <w:tblStyleColBandSize w:val="1"/>
      <w:tblBorders>
        <w:top w:val="single" w:sz="8" w:space="0" w:color="A0966E" w:themeColor="accent5"/>
        <w:bottom w:val="single" w:sz="8" w:space="0" w:color="A0966E" w:themeColor="accent5"/>
      </w:tblBorders>
    </w:tblPr>
    <w:tblStylePr w:type="fir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la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5DB" w:themeFill="accent5" w:themeFillTint="3F"/>
      </w:tcPr>
    </w:tblStylePr>
    <w:tblStylePr w:type="band1Horz">
      <w:tblPr/>
      <w:tcPr>
        <w:tcBorders>
          <w:left w:val="nil"/>
          <w:right w:val="nil"/>
          <w:insideH w:val="nil"/>
          <w:insideV w:val="nil"/>
        </w:tcBorders>
        <w:shd w:val="clear" w:color="auto" w:fill="E7E5DB" w:themeFill="accent5" w:themeFillTint="3F"/>
      </w:tcPr>
    </w:tblStylePr>
  </w:style>
  <w:style w:type="numbering" w:customStyle="1" w:styleId="FMHNummerierunggegliedertauf3EbenenAltN">
    <w:name w:val="FMH Nummerierung gegliedert auf 3 Ebenen (Alt+N)"/>
    <w:uiPriority w:val="99"/>
    <w:rsid w:val="00D74E37"/>
    <w:pPr>
      <w:numPr>
        <w:numId w:val="2"/>
      </w:numPr>
    </w:pPr>
  </w:style>
  <w:style w:type="numbering" w:customStyle="1" w:styleId="FMHAufzhlunggegliedertauf3EbenenAltA">
    <w:name w:val="FMH Aufzählung gegliedert auf 3 Ebenen (Alt+A)"/>
    <w:uiPriority w:val="99"/>
    <w:rsid w:val="00D74E37"/>
    <w:pPr>
      <w:numPr>
        <w:numId w:val="3"/>
      </w:numPr>
    </w:pPr>
  </w:style>
  <w:style w:type="paragraph" w:customStyle="1" w:styleId="ABCAufzhlungfr1Ebene">
    <w:name w:val="ABC Aufzählung für 1 Ebene"/>
    <w:basedOn w:val="Standard"/>
    <w:uiPriority w:val="2"/>
    <w:qFormat/>
    <w:rsid w:val="009407BF"/>
    <w:pPr>
      <w:numPr>
        <w:numId w:val="4"/>
      </w:numPr>
      <w:ind w:left="426" w:hanging="284"/>
      <w:contextualSpacing/>
    </w:pPr>
  </w:style>
  <w:style w:type="character" w:styleId="Hyperlink">
    <w:name w:val="Hyperlink"/>
    <w:basedOn w:val="Absatz-Standardschriftart"/>
    <w:uiPriority w:val="99"/>
    <w:unhideWhenUsed/>
    <w:rsid w:val="00CE0E41"/>
    <w:rPr>
      <w:color w:val="3C5587" w:themeColor="hyperlink"/>
      <w:u w:val="single"/>
    </w:rPr>
  </w:style>
  <w:style w:type="paragraph" w:styleId="Verzeichnis1">
    <w:name w:val="toc 1"/>
    <w:basedOn w:val="Standard"/>
    <w:next w:val="Standard"/>
    <w:uiPriority w:val="39"/>
    <w:unhideWhenUsed/>
    <w:rsid w:val="00CE0E41"/>
    <w:pPr>
      <w:tabs>
        <w:tab w:val="right" w:leader="dot" w:pos="9072"/>
      </w:tabs>
      <w:ind w:left="454" w:right="567" w:hanging="454"/>
      <w:contextualSpacing/>
    </w:pPr>
    <w:rPr>
      <w:b/>
    </w:rPr>
  </w:style>
  <w:style w:type="paragraph" w:styleId="Verzeichnis2">
    <w:name w:val="toc 2"/>
    <w:basedOn w:val="Standard"/>
    <w:next w:val="Standard"/>
    <w:uiPriority w:val="39"/>
    <w:unhideWhenUsed/>
    <w:rsid w:val="00CE0E41"/>
    <w:pPr>
      <w:tabs>
        <w:tab w:val="right" w:leader="dot" w:pos="9072"/>
      </w:tabs>
      <w:spacing w:after="60"/>
      <w:ind w:left="1134" w:right="567" w:hanging="680"/>
      <w:contextualSpacing/>
    </w:pPr>
  </w:style>
  <w:style w:type="paragraph" w:styleId="Verzeichnis3">
    <w:name w:val="toc 3"/>
    <w:basedOn w:val="Standard"/>
    <w:next w:val="Standard"/>
    <w:uiPriority w:val="39"/>
    <w:unhideWhenUsed/>
    <w:rsid w:val="00CE0E41"/>
    <w:pPr>
      <w:tabs>
        <w:tab w:val="right" w:leader="dot" w:pos="9072"/>
      </w:tabs>
      <w:spacing w:after="60"/>
      <w:ind w:left="1928" w:hanging="794"/>
      <w:contextualSpacing/>
    </w:pPr>
  </w:style>
  <w:style w:type="paragraph" w:styleId="Sprechblasentext">
    <w:name w:val="Balloon Text"/>
    <w:basedOn w:val="Standard"/>
    <w:link w:val="SprechblasentextZchn"/>
    <w:unhideWhenUsed/>
    <w:rsid w:val="00E177D4"/>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E177D4"/>
    <w:rPr>
      <w:rFonts w:ascii="Tahoma" w:hAnsi="Tahoma" w:cs="Tahoma"/>
      <w:sz w:val="16"/>
      <w:szCs w:val="16"/>
    </w:rPr>
  </w:style>
  <w:style w:type="paragraph" w:styleId="Beschriftung">
    <w:name w:val="caption"/>
    <w:basedOn w:val="Standard"/>
    <w:next w:val="Standard"/>
    <w:uiPriority w:val="35"/>
    <w:unhideWhenUsed/>
    <w:qFormat/>
    <w:rsid w:val="00E177D4"/>
    <w:pPr>
      <w:spacing w:after="200"/>
    </w:pPr>
    <w:rPr>
      <w:bCs/>
      <w:sz w:val="18"/>
      <w:szCs w:val="18"/>
    </w:rPr>
  </w:style>
  <w:style w:type="paragraph" w:styleId="Funotentext">
    <w:name w:val="footnote text"/>
    <w:basedOn w:val="Standard"/>
    <w:link w:val="FunotentextZchn"/>
    <w:rsid w:val="00E177D4"/>
    <w:pPr>
      <w:spacing w:after="0"/>
      <w:ind w:left="680" w:hanging="680"/>
    </w:pPr>
    <w:rPr>
      <w:sz w:val="18"/>
      <w:szCs w:val="20"/>
    </w:rPr>
  </w:style>
  <w:style w:type="character" w:customStyle="1" w:styleId="FunotentextZchn">
    <w:name w:val="Fußnotentext Zchn"/>
    <w:basedOn w:val="Absatz-Standardschriftart"/>
    <w:link w:val="Funotentext"/>
    <w:rsid w:val="00E177D4"/>
    <w:rPr>
      <w:sz w:val="18"/>
      <w:szCs w:val="20"/>
    </w:rPr>
  </w:style>
  <w:style w:type="character" w:styleId="Funotenzeichen">
    <w:name w:val="footnote reference"/>
    <w:basedOn w:val="Absatz-Standardschriftart"/>
    <w:unhideWhenUsed/>
    <w:rsid w:val="00E177D4"/>
    <w:rPr>
      <w:vertAlign w:val="superscript"/>
    </w:rPr>
  </w:style>
  <w:style w:type="paragraph" w:styleId="Kopfzeile">
    <w:name w:val="header"/>
    <w:basedOn w:val="Standard"/>
    <w:link w:val="KopfzeileZchn"/>
    <w:unhideWhenUsed/>
    <w:rsid w:val="00E177D4"/>
    <w:pPr>
      <w:tabs>
        <w:tab w:val="center" w:pos="4536"/>
        <w:tab w:val="right" w:pos="9072"/>
      </w:tabs>
      <w:spacing w:after="0"/>
    </w:pPr>
    <w:rPr>
      <w:sz w:val="18"/>
    </w:rPr>
  </w:style>
  <w:style w:type="character" w:customStyle="1" w:styleId="KopfzeileZchn">
    <w:name w:val="Kopfzeile Zchn"/>
    <w:basedOn w:val="Absatz-Standardschriftart"/>
    <w:link w:val="Kopfzeile"/>
    <w:rsid w:val="00E177D4"/>
    <w:rPr>
      <w:sz w:val="18"/>
    </w:rPr>
  </w:style>
  <w:style w:type="paragraph" w:styleId="Fuzeile">
    <w:name w:val="footer"/>
    <w:basedOn w:val="Standard"/>
    <w:link w:val="FuzeileZchn"/>
    <w:uiPriority w:val="99"/>
    <w:unhideWhenUsed/>
    <w:rsid w:val="00E177D4"/>
    <w:pPr>
      <w:tabs>
        <w:tab w:val="center" w:pos="4536"/>
        <w:tab w:val="right" w:pos="9072"/>
      </w:tabs>
      <w:spacing w:after="0"/>
    </w:pPr>
    <w:rPr>
      <w:sz w:val="18"/>
    </w:rPr>
  </w:style>
  <w:style w:type="character" w:customStyle="1" w:styleId="FuzeileZchn">
    <w:name w:val="Fußzeile Zchn"/>
    <w:basedOn w:val="Absatz-Standardschriftart"/>
    <w:link w:val="Fuzeile"/>
    <w:uiPriority w:val="99"/>
    <w:rsid w:val="00E177D4"/>
    <w:rPr>
      <w:sz w:val="18"/>
    </w:rPr>
  </w:style>
  <w:style w:type="character" w:styleId="Platzhaltertext">
    <w:name w:val="Placeholder Text"/>
    <w:basedOn w:val="Absatz-Standardschriftart"/>
    <w:uiPriority w:val="99"/>
    <w:semiHidden/>
    <w:rsid w:val="00557A62"/>
    <w:rPr>
      <w:color w:val="808080"/>
    </w:rPr>
  </w:style>
  <w:style w:type="paragraph" w:customStyle="1" w:styleId="Angabenpersnlich">
    <w:name w:val="Angaben persönlich"/>
    <w:basedOn w:val="Standard"/>
    <w:rsid w:val="003A34FC"/>
    <w:pPr>
      <w:spacing w:after="0"/>
    </w:pPr>
    <w:rPr>
      <w:sz w:val="18"/>
    </w:rPr>
  </w:style>
  <w:style w:type="paragraph" w:styleId="Aufzhlungszeichen2">
    <w:name w:val="List Bullet 2"/>
    <w:basedOn w:val="Aufzhlungszeichenfr1Ebene"/>
    <w:uiPriority w:val="99"/>
    <w:rsid w:val="000C32EC"/>
    <w:pPr>
      <w:numPr>
        <w:ilvl w:val="1"/>
      </w:numPr>
    </w:pPr>
  </w:style>
  <w:style w:type="paragraph" w:styleId="Aufzhlungszeichen3">
    <w:name w:val="List Bullet 3"/>
    <w:basedOn w:val="Aufzhlungszeichenfr1Ebene"/>
    <w:uiPriority w:val="99"/>
    <w:rsid w:val="000C32EC"/>
    <w:pPr>
      <w:numPr>
        <w:ilvl w:val="2"/>
      </w:numPr>
    </w:pPr>
  </w:style>
  <w:style w:type="paragraph" w:customStyle="1" w:styleId="Nummerierungfr1Ebene">
    <w:name w:val="Nummerierung für 1 Ebene"/>
    <w:basedOn w:val="Standard"/>
    <w:uiPriority w:val="2"/>
    <w:qFormat/>
    <w:rsid w:val="00D74E37"/>
    <w:pPr>
      <w:numPr>
        <w:numId w:val="6"/>
      </w:numPr>
      <w:contextualSpacing/>
    </w:pPr>
    <w:rPr>
      <w:szCs w:val="20"/>
    </w:rPr>
  </w:style>
  <w:style w:type="numbering" w:customStyle="1" w:styleId="Aufzhlung">
    <w:name w:val="Aufzählung"/>
    <w:basedOn w:val="KeineListe"/>
    <w:uiPriority w:val="99"/>
    <w:rsid w:val="00910E0D"/>
    <w:pPr>
      <w:numPr>
        <w:numId w:val="7"/>
      </w:numPr>
    </w:pPr>
  </w:style>
  <w:style w:type="paragraph" w:styleId="Abbildungsverzeichnis">
    <w:name w:val="table of figures"/>
    <w:basedOn w:val="Standard"/>
    <w:next w:val="Standard"/>
    <w:uiPriority w:val="99"/>
    <w:unhideWhenUsed/>
    <w:rsid w:val="00910E0D"/>
    <w:pPr>
      <w:spacing w:after="0" w:line="259" w:lineRule="auto"/>
    </w:pPr>
  </w:style>
  <w:style w:type="paragraph" w:styleId="Literaturverzeichnis">
    <w:name w:val="Bibliography"/>
    <w:basedOn w:val="Standard"/>
    <w:next w:val="Standard"/>
    <w:uiPriority w:val="37"/>
    <w:unhideWhenUsed/>
    <w:rsid w:val="00910E0D"/>
    <w:pPr>
      <w:spacing w:after="160" w:line="259" w:lineRule="auto"/>
    </w:pPr>
  </w:style>
  <w:style w:type="character" w:styleId="Kommentarzeichen">
    <w:name w:val="annotation reference"/>
    <w:basedOn w:val="Absatz-Standardschriftart"/>
    <w:unhideWhenUsed/>
    <w:rsid w:val="0045568D"/>
    <w:rPr>
      <w:sz w:val="16"/>
      <w:szCs w:val="16"/>
    </w:rPr>
  </w:style>
  <w:style w:type="paragraph" w:styleId="Kommentartext">
    <w:name w:val="annotation text"/>
    <w:basedOn w:val="Standard"/>
    <w:link w:val="KommentartextZchn"/>
    <w:unhideWhenUsed/>
    <w:rsid w:val="0045568D"/>
    <w:rPr>
      <w:sz w:val="20"/>
      <w:szCs w:val="20"/>
    </w:rPr>
  </w:style>
  <w:style w:type="character" w:customStyle="1" w:styleId="KommentartextZchn">
    <w:name w:val="Kommentartext Zchn"/>
    <w:basedOn w:val="Absatz-Standardschriftart"/>
    <w:link w:val="Kommentartext"/>
    <w:rsid w:val="0045568D"/>
    <w:rPr>
      <w:sz w:val="20"/>
      <w:szCs w:val="20"/>
    </w:rPr>
  </w:style>
  <w:style w:type="paragraph" w:styleId="Kommentarthema">
    <w:name w:val="annotation subject"/>
    <w:basedOn w:val="Kommentartext"/>
    <w:next w:val="Kommentartext"/>
    <w:link w:val="KommentarthemaZchn"/>
    <w:unhideWhenUsed/>
    <w:rsid w:val="0045568D"/>
    <w:rPr>
      <w:b/>
      <w:bCs/>
    </w:rPr>
  </w:style>
  <w:style w:type="character" w:customStyle="1" w:styleId="KommentarthemaZchn">
    <w:name w:val="Kommentarthema Zchn"/>
    <w:basedOn w:val="KommentartextZchn"/>
    <w:link w:val="Kommentarthema"/>
    <w:rsid w:val="0045568D"/>
    <w:rPr>
      <w:b/>
      <w:bCs/>
      <w:sz w:val="20"/>
      <w:szCs w:val="20"/>
    </w:rPr>
  </w:style>
  <w:style w:type="character" w:styleId="BesuchterLink">
    <w:name w:val="FollowedHyperlink"/>
    <w:basedOn w:val="Absatz-Standardschriftart"/>
    <w:semiHidden/>
    <w:unhideWhenUsed/>
    <w:rsid w:val="006330B3"/>
    <w:rPr>
      <w:color w:val="A0966E" w:themeColor="followedHyperlink"/>
      <w:u w:val="single"/>
    </w:rPr>
  </w:style>
  <w:style w:type="paragraph" w:styleId="StandardWeb">
    <w:name w:val="Normal (Web)"/>
    <w:basedOn w:val="Standard"/>
    <w:uiPriority w:val="99"/>
    <w:unhideWhenUsed/>
    <w:rsid w:val="00184D8D"/>
    <w:pPr>
      <w:spacing w:before="100" w:beforeAutospacing="1" w:after="100" w:afterAutospacing="1"/>
    </w:pPr>
    <w:rPr>
      <w:rFonts w:ascii="Times New Roman" w:eastAsiaTheme="minorEastAsia" w:hAnsi="Times New Roman" w:cs="Times New Roman"/>
      <w:sz w:val="24"/>
      <w:szCs w:val="24"/>
      <w:lang w:eastAsia="de-CH"/>
    </w:rPr>
  </w:style>
  <w:style w:type="character" w:customStyle="1" w:styleId="NichtaufgelsteErwhnung1">
    <w:name w:val="Nicht aufgelöste Erwähnung1"/>
    <w:basedOn w:val="Absatz-Standardschriftart"/>
    <w:uiPriority w:val="99"/>
    <w:semiHidden/>
    <w:unhideWhenUsed/>
    <w:rsid w:val="00B13981"/>
    <w:rPr>
      <w:color w:val="605E5C"/>
      <w:shd w:val="clear" w:color="auto" w:fill="E1DFDD"/>
    </w:rPr>
  </w:style>
  <w:style w:type="character" w:customStyle="1" w:styleId="NichtaufgelsteErwhnung2">
    <w:name w:val="Nicht aufgelöste Erwähnung2"/>
    <w:basedOn w:val="Absatz-Standardschriftart"/>
    <w:uiPriority w:val="99"/>
    <w:semiHidden/>
    <w:unhideWhenUsed/>
    <w:rsid w:val="009144B8"/>
    <w:rPr>
      <w:color w:val="605E5C"/>
      <w:shd w:val="clear" w:color="auto" w:fill="E1DFDD"/>
    </w:rPr>
  </w:style>
  <w:style w:type="paragraph" w:customStyle="1" w:styleId="FliesstextPw">
    <w:name w:val="Fliesstext Pw"/>
    <w:basedOn w:val="Standard"/>
    <w:rsid w:val="00CB0D1E"/>
    <w:pPr>
      <w:tabs>
        <w:tab w:val="left" w:pos="2940"/>
      </w:tabs>
      <w:spacing w:before="120" w:line="276" w:lineRule="auto"/>
    </w:pPr>
    <w:rPr>
      <w:rFonts w:ascii="Segoe UI Light" w:eastAsia="Times New Roman" w:hAnsi="Segoe UI Light" w:cs="Times New Roman"/>
      <w:lang w:eastAsia="de-CH"/>
    </w:rPr>
  </w:style>
  <w:style w:type="paragraph" w:customStyle="1" w:styleId="NummerierungPw">
    <w:name w:val="Nummerierung Pw"/>
    <w:basedOn w:val="FliesstextPw"/>
    <w:rsid w:val="00CB0D1E"/>
    <w:pPr>
      <w:numPr>
        <w:numId w:val="8"/>
      </w:numPr>
      <w:tabs>
        <w:tab w:val="clear" w:pos="2940"/>
        <w:tab w:val="left" w:pos="567"/>
      </w:tabs>
      <w:spacing w:line="240" w:lineRule="auto"/>
      <w:ind w:left="567" w:hanging="567"/>
    </w:pPr>
  </w:style>
  <w:style w:type="paragraph" w:customStyle="1" w:styleId="FliesstextCr">
    <w:name w:val="Fliesstext Cr"/>
    <w:basedOn w:val="Standard"/>
    <w:rsid w:val="00CB0D1E"/>
    <w:pPr>
      <w:tabs>
        <w:tab w:val="left" w:pos="2940"/>
      </w:tabs>
      <w:spacing w:before="60" w:line="324" w:lineRule="auto"/>
    </w:pPr>
    <w:rPr>
      <w:rFonts w:ascii="Segoe UI Light" w:eastAsia="Times New Roman" w:hAnsi="Segoe UI Light" w:cs="Times New Roman"/>
      <w:szCs w:val="16"/>
      <w:lang w:eastAsia="de-CH"/>
    </w:rPr>
  </w:style>
  <w:style w:type="paragraph" w:customStyle="1" w:styleId="Clause">
    <w:name w:val="Clause"/>
    <w:basedOn w:val="berschrift2"/>
    <w:link w:val="ClauseZchn"/>
    <w:rsid w:val="00CB0D1E"/>
    <w:pPr>
      <w:keepNext w:val="0"/>
      <w:keepLines w:val="0"/>
      <w:tabs>
        <w:tab w:val="left" w:pos="425"/>
      </w:tabs>
      <w:spacing w:after="0" w:line="276" w:lineRule="auto"/>
      <w:ind w:left="0" w:firstLine="0"/>
      <w:jc w:val="both"/>
    </w:pPr>
    <w:rPr>
      <w:rFonts w:ascii="Segoe UI Light" w:eastAsia="Times New Roman" w:hAnsi="Segoe UI Light" w:cs="Times New Roman"/>
      <w:b w:val="0"/>
      <w:bCs w:val="0"/>
      <w:szCs w:val="28"/>
      <w:lang w:eastAsia="de-DE"/>
    </w:rPr>
  </w:style>
  <w:style w:type="paragraph" w:styleId="Textkrper-Einzug2">
    <w:name w:val="Body Text Indent 2"/>
    <w:basedOn w:val="Standard"/>
    <w:link w:val="Textkrper-Einzug2Zchn"/>
    <w:rsid w:val="00CB0D1E"/>
    <w:pPr>
      <w:tabs>
        <w:tab w:val="left" w:pos="680"/>
      </w:tabs>
      <w:spacing w:before="60" w:line="480" w:lineRule="auto"/>
      <w:ind w:left="360"/>
      <w:jc w:val="both"/>
    </w:pPr>
    <w:rPr>
      <w:rFonts w:ascii="Frutiger 45 Light" w:eastAsia="SimSun" w:hAnsi="Frutiger 45 Light" w:cs="Times New Roman"/>
      <w:sz w:val="21"/>
      <w:szCs w:val="20"/>
      <w:lang w:val="en-GB" w:eastAsia="de-CH"/>
    </w:rPr>
  </w:style>
  <w:style w:type="character" w:customStyle="1" w:styleId="Textkrper-Einzug2Zchn">
    <w:name w:val="Textkörper-Einzug 2 Zchn"/>
    <w:basedOn w:val="Absatz-Standardschriftart"/>
    <w:link w:val="Textkrper-Einzug2"/>
    <w:rsid w:val="00CB0D1E"/>
    <w:rPr>
      <w:rFonts w:ascii="Frutiger 45 Light" w:eastAsia="SimSun" w:hAnsi="Frutiger 45 Light" w:cs="Times New Roman"/>
      <w:sz w:val="21"/>
      <w:szCs w:val="20"/>
      <w:lang w:val="en-GB" w:eastAsia="de-CH"/>
    </w:rPr>
  </w:style>
  <w:style w:type="table" w:customStyle="1" w:styleId="Tabellengitternetz">
    <w:name w:val="Tabellengitternetz"/>
    <w:basedOn w:val="NormaleTabelle"/>
    <w:rsid w:val="00CB0D1E"/>
    <w:pPr>
      <w:spacing w:after="0"/>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 3"/>
    <w:basedOn w:val="Standard"/>
    <w:rsid w:val="00CB0D1E"/>
    <w:pPr>
      <w:numPr>
        <w:numId w:val="9"/>
      </w:numPr>
      <w:spacing w:before="120" w:line="260" w:lineRule="atLeast"/>
      <w:jc w:val="both"/>
    </w:pPr>
    <w:rPr>
      <w:rFonts w:ascii="Frutiger 45 Light" w:eastAsia="Times New Roman" w:hAnsi="Frutiger 45 Light" w:cs="Times New Roman"/>
      <w:sz w:val="21"/>
      <w:szCs w:val="20"/>
      <w:lang w:val="en-GB" w:eastAsia="en-GB"/>
    </w:rPr>
  </w:style>
  <w:style w:type="paragraph" w:customStyle="1" w:styleId="NumberedList">
    <w:name w:val="Numbered List"/>
    <w:basedOn w:val="Level3"/>
    <w:rsid w:val="00CB0D1E"/>
    <w:pPr>
      <w:numPr>
        <w:numId w:val="10"/>
      </w:numPr>
      <w:spacing w:before="0"/>
    </w:pPr>
  </w:style>
  <w:style w:type="paragraph" w:styleId="Inhaltsverzeichnisberschrift">
    <w:name w:val="TOC Heading"/>
    <w:basedOn w:val="berschrift1"/>
    <w:next w:val="Standard"/>
    <w:uiPriority w:val="39"/>
    <w:unhideWhenUsed/>
    <w:rsid w:val="00CB0D1E"/>
    <w:pPr>
      <w:spacing w:before="360" w:after="120" w:line="276" w:lineRule="auto"/>
      <w:ind w:left="431" w:hanging="431"/>
      <w:outlineLvl w:val="9"/>
    </w:pPr>
    <w:rPr>
      <w:rFonts w:ascii="Cambria" w:eastAsia="Times New Roman" w:hAnsi="Cambria" w:cs="Segoe UI Light"/>
      <w:color w:val="365F91"/>
      <w:sz w:val="24"/>
      <w:lang w:val="de-DE"/>
    </w:rPr>
  </w:style>
  <w:style w:type="paragraph" w:customStyle="1" w:styleId="Formatvorlage1">
    <w:name w:val="Formatvorlage1"/>
    <w:basedOn w:val="Standard"/>
    <w:next w:val="berschrift4"/>
    <w:link w:val="Formatvorlage1Zchn"/>
    <w:rsid w:val="00CB0D1E"/>
    <w:pPr>
      <w:numPr>
        <w:ilvl w:val="3"/>
        <w:numId w:val="11"/>
      </w:numPr>
      <w:tabs>
        <w:tab w:val="left" w:pos="567"/>
      </w:tabs>
      <w:spacing w:before="120" w:line="276" w:lineRule="auto"/>
    </w:pPr>
    <w:rPr>
      <w:rFonts w:ascii="Segoe UI Light" w:eastAsia="Times New Roman" w:hAnsi="Segoe UI Light" w:cs="Times New Roman"/>
      <w:b/>
      <w:lang w:val="en-US" w:eastAsia="de-CH"/>
    </w:rPr>
  </w:style>
  <w:style w:type="character" w:customStyle="1" w:styleId="Formatvorlage1Zchn">
    <w:name w:val="Formatvorlage1 Zchn"/>
    <w:basedOn w:val="Absatz-Standardschriftart"/>
    <w:link w:val="Formatvorlage1"/>
    <w:rsid w:val="00CB0D1E"/>
    <w:rPr>
      <w:rFonts w:ascii="Segoe UI Light" w:eastAsia="Times New Roman" w:hAnsi="Segoe UI Light" w:cs="Times New Roman"/>
      <w:b/>
      <w:lang w:val="en-US" w:eastAsia="de-CH"/>
    </w:rPr>
  </w:style>
  <w:style w:type="paragraph" w:customStyle="1" w:styleId="Textbody">
    <w:name w:val="Textbody"/>
    <w:basedOn w:val="Clause"/>
    <w:link w:val="TextbodyZchn"/>
    <w:qFormat/>
    <w:rsid w:val="00CB0D1E"/>
    <w:pPr>
      <w:numPr>
        <w:ilvl w:val="0"/>
        <w:numId w:val="0"/>
      </w:numPr>
      <w:tabs>
        <w:tab w:val="left" w:pos="0"/>
        <w:tab w:val="left" w:pos="4962"/>
      </w:tabs>
    </w:pPr>
  </w:style>
  <w:style w:type="paragraph" w:customStyle="1" w:styleId="Fazit">
    <w:name w:val="Fazit"/>
    <w:basedOn w:val="Textbody"/>
    <w:link w:val="FazitZchn"/>
    <w:rsid w:val="00CB0D1E"/>
    <w:pPr>
      <w:numPr>
        <w:ilvl w:val="1"/>
        <w:numId w:val="12"/>
      </w:numPr>
      <w:pBdr>
        <w:top w:val="single" w:sz="4" w:space="1" w:color="auto"/>
        <w:left w:val="single" w:sz="4" w:space="4" w:color="auto"/>
        <w:bottom w:val="single" w:sz="4" w:space="1" w:color="auto"/>
        <w:right w:val="single" w:sz="4" w:space="4" w:color="auto"/>
      </w:pBdr>
      <w:ind w:left="720"/>
    </w:pPr>
    <w:rPr>
      <w:b/>
    </w:rPr>
  </w:style>
  <w:style w:type="character" w:customStyle="1" w:styleId="ClauseZchn">
    <w:name w:val="Clause Zchn"/>
    <w:basedOn w:val="berschrift2Zchn"/>
    <w:link w:val="Clause"/>
    <w:rsid w:val="00CB0D1E"/>
    <w:rPr>
      <w:rFonts w:ascii="Segoe UI Light" w:eastAsia="Times New Roman" w:hAnsi="Segoe UI Light" w:cs="Times New Roman"/>
      <w:b w:val="0"/>
      <w:bCs w:val="0"/>
      <w:sz w:val="24"/>
      <w:szCs w:val="28"/>
      <w:lang w:eastAsia="de-DE"/>
    </w:rPr>
  </w:style>
  <w:style w:type="character" w:customStyle="1" w:styleId="TextbodyZchn">
    <w:name w:val="Textbody Zchn"/>
    <w:basedOn w:val="ClauseZchn"/>
    <w:link w:val="Textbody"/>
    <w:rsid w:val="00CB0D1E"/>
    <w:rPr>
      <w:rFonts w:ascii="Segoe UI Light" w:eastAsia="Times New Roman" w:hAnsi="Segoe UI Light" w:cs="Times New Roman"/>
      <w:b w:val="0"/>
      <w:bCs w:val="0"/>
      <w:sz w:val="24"/>
      <w:szCs w:val="28"/>
      <w:lang w:eastAsia="de-DE"/>
    </w:rPr>
  </w:style>
  <w:style w:type="paragraph" w:customStyle="1" w:styleId="Formatvorlage2">
    <w:name w:val="Formatvorlage2"/>
    <w:basedOn w:val="Fazit"/>
    <w:link w:val="Formatvorlage2Zchn"/>
    <w:rsid w:val="00CB0D1E"/>
    <w:pPr>
      <w:numPr>
        <w:numId w:val="13"/>
      </w:numPr>
      <w:pBdr>
        <w:top w:val="none" w:sz="0" w:space="0" w:color="auto"/>
        <w:left w:val="none" w:sz="0" w:space="0" w:color="auto"/>
        <w:bottom w:val="none" w:sz="0" w:space="0" w:color="auto"/>
        <w:right w:val="none" w:sz="0" w:space="0" w:color="auto"/>
      </w:pBdr>
      <w:ind w:left="720"/>
    </w:pPr>
    <w:rPr>
      <w:b w:val="0"/>
    </w:rPr>
  </w:style>
  <w:style w:type="character" w:customStyle="1" w:styleId="FazitZchn">
    <w:name w:val="Fazit Zchn"/>
    <w:basedOn w:val="TextbodyZchn"/>
    <w:link w:val="Fazit"/>
    <w:rsid w:val="00CB0D1E"/>
    <w:rPr>
      <w:rFonts w:ascii="Segoe UI Light" w:eastAsia="Times New Roman" w:hAnsi="Segoe UI Light" w:cs="Times New Roman"/>
      <w:b/>
      <w:bCs w:val="0"/>
      <w:sz w:val="24"/>
      <w:szCs w:val="28"/>
      <w:lang w:eastAsia="de-DE"/>
    </w:rPr>
  </w:style>
  <w:style w:type="character" w:customStyle="1" w:styleId="Formatvorlage2Zchn">
    <w:name w:val="Formatvorlage2 Zchn"/>
    <w:basedOn w:val="FazitZchn"/>
    <w:link w:val="Formatvorlage2"/>
    <w:rsid w:val="00CB0D1E"/>
    <w:rPr>
      <w:rFonts w:ascii="Segoe UI Light" w:eastAsia="Times New Roman" w:hAnsi="Segoe UI Light" w:cs="Times New Roman"/>
      <w:b w:val="0"/>
      <w:bCs w:val="0"/>
      <w:sz w:val="24"/>
      <w:szCs w:val="28"/>
      <w:lang w:eastAsia="de-DE"/>
    </w:rPr>
  </w:style>
  <w:style w:type="character" w:customStyle="1" w:styleId="itn-normal">
    <w:name w:val="itn-normal"/>
    <w:basedOn w:val="Absatz-Standardschriftart"/>
    <w:rsid w:val="00CB0D1E"/>
  </w:style>
  <w:style w:type="paragraph" w:customStyle="1" w:styleId="Formatvorlage3">
    <w:name w:val="Formatvorlage3"/>
    <w:basedOn w:val="Textbody"/>
    <w:rsid w:val="00CB0D1E"/>
    <w:pPr>
      <w:numPr>
        <w:numId w:val="14"/>
      </w:numPr>
      <w:ind w:left="425" w:hanging="425"/>
      <w:contextualSpacing/>
    </w:pPr>
  </w:style>
  <w:style w:type="character" w:styleId="Hervorhebung">
    <w:name w:val="Emphasis"/>
    <w:basedOn w:val="Absatz-Standardschriftart"/>
    <w:uiPriority w:val="20"/>
    <w:rsid w:val="00CB0D1E"/>
    <w:rPr>
      <w:i/>
      <w:iCs/>
    </w:rPr>
  </w:style>
  <w:style w:type="character" w:customStyle="1" w:styleId="exactmatch">
    <w:name w:val="exact_match"/>
    <w:basedOn w:val="Absatz-Standardschriftart"/>
    <w:rsid w:val="00CB0D1E"/>
  </w:style>
  <w:style w:type="paragraph" w:customStyle="1" w:styleId="Formatvorlage4">
    <w:name w:val="Formatvorlage4"/>
    <w:basedOn w:val="Textbody"/>
    <w:rsid w:val="00CB0D1E"/>
    <w:pPr>
      <w:spacing w:before="60" w:after="60"/>
      <w:ind w:left="360" w:hanging="360"/>
    </w:pPr>
  </w:style>
  <w:style w:type="paragraph" w:customStyle="1" w:styleId="Default">
    <w:name w:val="Default"/>
    <w:basedOn w:val="Standard"/>
    <w:uiPriority w:val="99"/>
    <w:rsid w:val="00CB0D1E"/>
    <w:pPr>
      <w:autoSpaceDE w:val="0"/>
      <w:autoSpaceDN w:val="0"/>
      <w:spacing w:before="60" w:after="60" w:line="276" w:lineRule="auto"/>
    </w:pPr>
    <w:rPr>
      <w:rFonts w:ascii="Segoe UI Light" w:hAnsi="Segoe UI Light" w:cs="Calibri"/>
      <w:color w:val="000000"/>
    </w:rPr>
  </w:style>
  <w:style w:type="paragraph" w:customStyle="1" w:styleId="FAZIT0">
    <w:name w:val="FAZIT"/>
    <w:basedOn w:val="Textbody"/>
    <w:rsid w:val="00CB0D1E"/>
    <w:pPr>
      <w:tabs>
        <w:tab w:val="left" w:pos="1134"/>
      </w:tabs>
      <w:ind w:left="1134" w:hanging="1134"/>
    </w:pPr>
    <w:rPr>
      <w:b/>
    </w:rPr>
  </w:style>
  <w:style w:type="paragraph" w:customStyle="1" w:styleId="IDfixNum04">
    <w:name w:val="IDfix_Num04"/>
    <w:basedOn w:val="Standard"/>
    <w:rsid w:val="00CB0D1E"/>
    <w:pPr>
      <w:numPr>
        <w:numId w:val="15"/>
      </w:numPr>
      <w:spacing w:before="300" w:after="60" w:line="300" w:lineRule="exact"/>
    </w:pPr>
    <w:rPr>
      <w:rFonts w:ascii="Segoe UI Light" w:eastAsia="Times New Roman" w:hAnsi="Segoe UI Light" w:cs="Calibri"/>
    </w:rPr>
  </w:style>
  <w:style w:type="numbering" w:customStyle="1" w:styleId="IDfixNum14">
    <w:name w:val="IDfix_Num14"/>
    <w:rsid w:val="00CB0D1E"/>
    <w:pPr>
      <w:numPr>
        <w:numId w:val="15"/>
      </w:numPr>
    </w:pPr>
  </w:style>
  <w:style w:type="paragraph" w:customStyle="1" w:styleId="Trennzeile">
    <w:name w:val="Trennzeile"/>
    <w:basedOn w:val="Standard"/>
    <w:qFormat/>
    <w:rsid w:val="00CB0D1E"/>
    <w:pPr>
      <w:spacing w:before="60" w:after="60" w:line="276" w:lineRule="auto"/>
      <w:jc w:val="center"/>
    </w:pPr>
    <w:rPr>
      <w:rFonts w:ascii="Segoe UI Light" w:eastAsia="Times New Roman" w:hAnsi="Segoe UI Light" w:cs="Times New Roman"/>
      <w:lang w:eastAsia="de-CH"/>
    </w:rPr>
  </w:style>
  <w:style w:type="paragraph" w:customStyle="1" w:styleId="Titellevel">
    <w:name w:val="Titellevel"/>
    <w:basedOn w:val="Kopfzeile"/>
    <w:rsid w:val="00CB0D1E"/>
    <w:pPr>
      <w:spacing w:before="480" w:after="360" w:line="324" w:lineRule="auto"/>
    </w:pPr>
    <w:rPr>
      <w:rFonts w:ascii="Segoe UI Light" w:eastAsia="Times New Roman" w:hAnsi="Segoe UI Light" w:cs="Times New Roman"/>
      <w:b/>
      <w:bCs/>
      <w:sz w:val="40"/>
      <w:szCs w:val="20"/>
      <w:lang w:eastAsia="de-CH"/>
    </w:rPr>
  </w:style>
  <w:style w:type="paragraph" w:customStyle="1" w:styleId="Inhaltsverzeichnis">
    <w:name w:val="Inhaltsverzeichnis"/>
    <w:basedOn w:val="Kopfzeile"/>
    <w:rsid w:val="00CB0D1E"/>
    <w:pPr>
      <w:spacing w:before="120" w:after="120" w:line="324" w:lineRule="auto"/>
    </w:pPr>
    <w:rPr>
      <w:rFonts w:ascii="Segoe UI Light" w:eastAsia="Times New Roman" w:hAnsi="Segoe UI Light" w:cs="Times New Roman"/>
      <w:b/>
      <w:bCs/>
      <w:sz w:val="20"/>
      <w:szCs w:val="20"/>
      <w:lang w:eastAsia="de-CH"/>
    </w:rPr>
  </w:style>
  <w:style w:type="paragraph" w:styleId="Verzeichnis4">
    <w:name w:val="toc 4"/>
    <w:basedOn w:val="Standard"/>
    <w:next w:val="Standard"/>
    <w:autoRedefine/>
    <w:uiPriority w:val="39"/>
    <w:unhideWhenUsed/>
    <w:rsid w:val="00CB0D1E"/>
    <w:pPr>
      <w:spacing w:before="60" w:after="100" w:line="276" w:lineRule="auto"/>
      <w:ind w:left="720"/>
    </w:pPr>
    <w:rPr>
      <w:rFonts w:ascii="Segoe UI Light" w:eastAsia="Times New Roman" w:hAnsi="Segoe UI Light" w:cs="Times New Roman"/>
      <w:lang w:eastAsia="de-CH"/>
    </w:rPr>
  </w:style>
  <w:style w:type="paragraph" w:customStyle="1" w:styleId="X-Aufzhlung">
    <w:name w:val="X-Aufzählung"/>
    <w:basedOn w:val="Listenabsatz"/>
    <w:link w:val="X-AufzhlungChar"/>
    <w:qFormat/>
    <w:rsid w:val="00CB0D1E"/>
    <w:pPr>
      <w:numPr>
        <w:ilvl w:val="1"/>
        <w:numId w:val="16"/>
      </w:numPr>
      <w:spacing w:before="60" w:line="259" w:lineRule="auto"/>
    </w:pPr>
    <w:rPr>
      <w:rFonts w:ascii="Segoe UI Light" w:eastAsia="Times New Roman" w:hAnsi="Segoe UI Light" w:cs="Times New Roman"/>
      <w:lang w:eastAsia="en-GB"/>
    </w:rPr>
  </w:style>
  <w:style w:type="character" w:customStyle="1" w:styleId="X-AufzhlungChar">
    <w:name w:val="X-Aufzählung Char"/>
    <w:basedOn w:val="Absatz-Standardschriftart"/>
    <w:link w:val="X-Aufzhlung"/>
    <w:rsid w:val="00CB0D1E"/>
    <w:rPr>
      <w:rFonts w:ascii="Segoe UI Light" w:eastAsia="Times New Roman" w:hAnsi="Segoe UI Light" w:cs="Times New Roman"/>
      <w:lang w:eastAsia="en-GB"/>
    </w:rPr>
  </w:style>
  <w:style w:type="paragraph" w:customStyle="1" w:styleId="X-Header1">
    <w:name w:val="X-Header 1"/>
    <w:basedOn w:val="Standard"/>
    <w:next w:val="Standard"/>
    <w:link w:val="X-Header1Char"/>
    <w:autoRedefine/>
    <w:qFormat/>
    <w:rsid w:val="00CB0D1E"/>
    <w:pPr>
      <w:keepNext/>
      <w:keepLines/>
      <w:numPr>
        <w:numId w:val="17"/>
      </w:numPr>
      <w:spacing w:before="240" w:line="259" w:lineRule="auto"/>
      <w:outlineLvl w:val="0"/>
    </w:pPr>
    <w:rPr>
      <w:rFonts w:ascii="Segoe UI Light" w:eastAsia="Times New Roman" w:hAnsi="Segoe UI Light" w:cs="Times New Roman"/>
      <w:color w:val="66CC33"/>
      <w:sz w:val="32"/>
      <w:lang w:eastAsia="en-GB"/>
    </w:rPr>
  </w:style>
  <w:style w:type="character" w:customStyle="1" w:styleId="X-Header1Char">
    <w:name w:val="X-Header 1 Char"/>
    <w:basedOn w:val="Absatz-Standardschriftart"/>
    <w:link w:val="X-Header1"/>
    <w:rsid w:val="00CB0D1E"/>
    <w:rPr>
      <w:rFonts w:ascii="Segoe UI Light" w:eastAsia="Times New Roman" w:hAnsi="Segoe UI Light" w:cs="Times New Roman"/>
      <w:color w:val="66CC33"/>
      <w:sz w:val="32"/>
      <w:lang w:eastAsia="en-GB"/>
    </w:rPr>
  </w:style>
  <w:style w:type="paragraph" w:customStyle="1" w:styleId="X-Header11">
    <w:name w:val="X-Header 1.1"/>
    <w:basedOn w:val="Standard"/>
    <w:next w:val="Standard"/>
    <w:link w:val="X-Header11Char"/>
    <w:qFormat/>
    <w:rsid w:val="00CB0D1E"/>
    <w:pPr>
      <w:numPr>
        <w:ilvl w:val="1"/>
        <w:numId w:val="17"/>
      </w:numPr>
      <w:spacing w:before="200" w:after="100" w:line="259" w:lineRule="auto"/>
      <w:jc w:val="both"/>
      <w:outlineLvl w:val="1"/>
    </w:pPr>
    <w:rPr>
      <w:rFonts w:ascii="Segoe UI Light" w:eastAsia="Times New Roman" w:hAnsi="Segoe UI Light" w:cs="Times New Roman"/>
      <w:color w:val="66CC33"/>
      <w:sz w:val="28"/>
      <w:lang w:eastAsia="en-GB"/>
    </w:rPr>
  </w:style>
  <w:style w:type="paragraph" w:customStyle="1" w:styleId="X-Header111">
    <w:name w:val="X-Header 1.1.1"/>
    <w:basedOn w:val="X-Header11"/>
    <w:next w:val="Standard"/>
    <w:qFormat/>
    <w:rsid w:val="00CB0D1E"/>
    <w:pPr>
      <w:numPr>
        <w:ilvl w:val="2"/>
      </w:numPr>
      <w:ind w:left="2160" w:hanging="360"/>
      <w:outlineLvl w:val="2"/>
    </w:pPr>
    <w:rPr>
      <w:sz w:val="24"/>
    </w:rPr>
  </w:style>
  <w:style w:type="paragraph" w:customStyle="1" w:styleId="X-Header1111">
    <w:name w:val="X-Header 1.1.1.1"/>
    <w:basedOn w:val="X-Header111"/>
    <w:next w:val="Standard"/>
    <w:autoRedefine/>
    <w:qFormat/>
    <w:rsid w:val="00CB0D1E"/>
    <w:pPr>
      <w:numPr>
        <w:ilvl w:val="3"/>
      </w:numPr>
      <w:ind w:left="2880" w:hanging="360"/>
    </w:pPr>
  </w:style>
  <w:style w:type="paragraph" w:customStyle="1" w:styleId="X-Aufzhlung-Definitionen">
    <w:name w:val="X-Aufzählung - Definitionen"/>
    <w:basedOn w:val="X-Aufzhlung"/>
    <w:qFormat/>
    <w:rsid w:val="00CB0D1E"/>
    <w:pPr>
      <w:ind w:left="567" w:hanging="425"/>
      <w:contextualSpacing w:val="0"/>
    </w:pPr>
  </w:style>
  <w:style w:type="paragraph" w:customStyle="1" w:styleId="Comment">
    <w:name w:val="Comment"/>
    <w:basedOn w:val="Standard"/>
    <w:rsid w:val="00CB0D1E"/>
    <w:pPr>
      <w:spacing w:before="60" w:after="200" w:line="276" w:lineRule="auto"/>
    </w:pPr>
    <w:rPr>
      <w:rFonts w:cs="Arial"/>
    </w:rPr>
  </w:style>
  <w:style w:type="paragraph" w:customStyle="1" w:styleId="Sidenote">
    <w:name w:val="Sidenote"/>
    <w:basedOn w:val="Standard"/>
    <w:next w:val="Standard"/>
    <w:rsid w:val="00CB0D1E"/>
    <w:pPr>
      <w:keepNext/>
      <w:framePr w:hSpace="454" w:vSpace="142" w:wrap="around" w:vAnchor="text" w:hAnchor="page" w:y="1"/>
      <w:spacing w:before="60" w:after="200" w:line="276" w:lineRule="auto"/>
    </w:pPr>
    <w:rPr>
      <w:sz w:val="20"/>
    </w:rPr>
  </w:style>
  <w:style w:type="paragraph" w:customStyle="1" w:styleId="List1">
    <w:name w:val="List1"/>
    <w:basedOn w:val="Standard"/>
    <w:rsid w:val="00CB0D1E"/>
    <w:pPr>
      <w:spacing w:before="60" w:after="200" w:line="276" w:lineRule="auto"/>
      <w:ind w:left="340" w:hanging="340"/>
    </w:pPr>
  </w:style>
  <w:style w:type="paragraph" w:customStyle="1" w:styleId="CommentTitle2">
    <w:name w:val="CommentTitle2"/>
    <w:basedOn w:val="Standard"/>
    <w:next w:val="Standard"/>
    <w:rsid w:val="00CB0D1E"/>
    <w:pPr>
      <w:keepNext/>
      <w:tabs>
        <w:tab w:val="left" w:pos="357"/>
      </w:tabs>
      <w:suppressAutoHyphens/>
      <w:autoSpaceDE w:val="0"/>
      <w:autoSpaceDN w:val="0"/>
      <w:adjustRightInd w:val="0"/>
      <w:spacing w:before="480" w:after="300" w:line="276" w:lineRule="auto"/>
      <w:outlineLvl w:val="1"/>
    </w:pPr>
    <w:rPr>
      <w:rFonts w:ascii="Arial" w:eastAsia="Times New Roman" w:hAnsi="Arial" w:cs="Arial"/>
      <w:b/>
      <w:bCs/>
      <w:color w:val="000000"/>
      <w:u w:color="000000"/>
      <w:lang w:val="de-DE" w:eastAsia="de-DE"/>
    </w:rPr>
  </w:style>
  <w:style w:type="paragraph" w:customStyle="1" w:styleId="CommentTitle3">
    <w:name w:val="CommentTitle3"/>
    <w:basedOn w:val="Standard"/>
    <w:next w:val="Standard"/>
    <w:rsid w:val="00CB0D1E"/>
    <w:pPr>
      <w:keepNext/>
      <w:tabs>
        <w:tab w:val="left" w:pos="357"/>
      </w:tabs>
      <w:suppressAutoHyphens/>
      <w:autoSpaceDE w:val="0"/>
      <w:autoSpaceDN w:val="0"/>
      <w:adjustRightInd w:val="0"/>
      <w:spacing w:before="480" w:after="300" w:line="276" w:lineRule="auto"/>
      <w:outlineLvl w:val="2"/>
    </w:pPr>
    <w:rPr>
      <w:rFonts w:ascii="Arial" w:eastAsia="Times New Roman" w:hAnsi="Arial" w:cs="Arial"/>
      <w:i/>
      <w:iCs/>
      <w:color w:val="000000"/>
      <w:u w:color="000000"/>
      <w:lang w:val="de-DE" w:eastAsia="de-DE"/>
    </w:rPr>
  </w:style>
  <w:style w:type="character" w:customStyle="1" w:styleId="X-Header11Char">
    <w:name w:val="X-Header 1.1 Char"/>
    <w:basedOn w:val="X-Header1Char"/>
    <w:link w:val="X-Header11"/>
    <w:rsid w:val="00CB0D1E"/>
    <w:rPr>
      <w:rFonts w:ascii="Segoe UI Light" w:eastAsia="Times New Roman" w:hAnsi="Segoe UI Light" w:cs="Times New Roman"/>
      <w:color w:val="66CC33"/>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417396">
      <w:bodyDiv w:val="1"/>
      <w:marLeft w:val="0"/>
      <w:marRight w:val="0"/>
      <w:marTop w:val="0"/>
      <w:marBottom w:val="0"/>
      <w:divBdr>
        <w:top w:val="none" w:sz="0" w:space="0" w:color="auto"/>
        <w:left w:val="none" w:sz="0" w:space="0" w:color="auto"/>
        <w:bottom w:val="none" w:sz="0" w:space="0" w:color="auto"/>
        <w:right w:val="none" w:sz="0" w:space="0" w:color="auto"/>
      </w:divBdr>
    </w:div>
    <w:div w:id="1173378214">
      <w:bodyDiv w:val="1"/>
      <w:marLeft w:val="0"/>
      <w:marRight w:val="0"/>
      <w:marTop w:val="0"/>
      <w:marBottom w:val="0"/>
      <w:divBdr>
        <w:top w:val="none" w:sz="0" w:space="0" w:color="auto"/>
        <w:left w:val="none" w:sz="0" w:space="0" w:color="auto"/>
        <w:bottom w:val="none" w:sz="0" w:space="0" w:color="auto"/>
        <w:right w:val="none" w:sz="0" w:space="0" w:color="auto"/>
      </w:divBdr>
      <w:divsChild>
        <w:div w:id="421754633">
          <w:marLeft w:val="0"/>
          <w:marRight w:val="0"/>
          <w:marTop w:val="0"/>
          <w:marBottom w:val="0"/>
          <w:divBdr>
            <w:top w:val="none" w:sz="0" w:space="0" w:color="auto"/>
            <w:left w:val="none" w:sz="0" w:space="0" w:color="auto"/>
            <w:bottom w:val="none" w:sz="0" w:space="0" w:color="auto"/>
            <w:right w:val="none" w:sz="0" w:space="0" w:color="auto"/>
          </w:divBdr>
          <w:divsChild>
            <w:div w:id="209852014">
              <w:marLeft w:val="0"/>
              <w:marRight w:val="0"/>
              <w:marTop w:val="0"/>
              <w:marBottom w:val="0"/>
              <w:divBdr>
                <w:top w:val="none" w:sz="0" w:space="0" w:color="auto"/>
                <w:left w:val="none" w:sz="0" w:space="0" w:color="auto"/>
                <w:bottom w:val="none" w:sz="0" w:space="0" w:color="auto"/>
                <w:right w:val="none" w:sz="0" w:space="0" w:color="auto"/>
              </w:divBdr>
              <w:divsChild>
                <w:div w:id="600840898">
                  <w:marLeft w:val="-225"/>
                  <w:marRight w:val="-225"/>
                  <w:marTop w:val="0"/>
                  <w:marBottom w:val="0"/>
                  <w:divBdr>
                    <w:top w:val="none" w:sz="0" w:space="0" w:color="auto"/>
                    <w:left w:val="none" w:sz="0" w:space="0" w:color="auto"/>
                    <w:bottom w:val="none" w:sz="0" w:space="0" w:color="auto"/>
                    <w:right w:val="none" w:sz="0" w:space="0" w:color="auto"/>
                  </w:divBdr>
                  <w:divsChild>
                    <w:div w:id="1697003084">
                      <w:marLeft w:val="0"/>
                      <w:marRight w:val="0"/>
                      <w:marTop w:val="0"/>
                      <w:marBottom w:val="0"/>
                      <w:divBdr>
                        <w:top w:val="none" w:sz="0" w:space="0" w:color="auto"/>
                        <w:left w:val="none" w:sz="0" w:space="0" w:color="auto"/>
                        <w:bottom w:val="none" w:sz="0" w:space="0" w:color="auto"/>
                        <w:right w:val="none" w:sz="0" w:space="0" w:color="auto"/>
                      </w:divBdr>
                      <w:divsChild>
                        <w:div w:id="359597099">
                          <w:marLeft w:val="-225"/>
                          <w:marRight w:val="-225"/>
                          <w:marTop w:val="0"/>
                          <w:marBottom w:val="0"/>
                          <w:divBdr>
                            <w:top w:val="none" w:sz="0" w:space="0" w:color="auto"/>
                            <w:left w:val="none" w:sz="0" w:space="0" w:color="auto"/>
                            <w:bottom w:val="none" w:sz="0" w:space="0" w:color="auto"/>
                            <w:right w:val="none" w:sz="0" w:space="0" w:color="auto"/>
                          </w:divBdr>
                          <w:divsChild>
                            <w:div w:id="1274943000">
                              <w:marLeft w:val="0"/>
                              <w:marRight w:val="0"/>
                              <w:marTop w:val="0"/>
                              <w:marBottom w:val="0"/>
                              <w:divBdr>
                                <w:top w:val="none" w:sz="0" w:space="0" w:color="auto"/>
                                <w:left w:val="none" w:sz="0" w:space="0" w:color="auto"/>
                                <w:bottom w:val="none" w:sz="0" w:space="0" w:color="auto"/>
                                <w:right w:val="none" w:sz="0" w:space="0" w:color="auto"/>
                              </w:divBdr>
                              <w:divsChild>
                                <w:div w:id="130751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970607">
      <w:bodyDiv w:val="1"/>
      <w:marLeft w:val="0"/>
      <w:marRight w:val="0"/>
      <w:marTop w:val="0"/>
      <w:marBottom w:val="0"/>
      <w:divBdr>
        <w:top w:val="none" w:sz="0" w:space="0" w:color="auto"/>
        <w:left w:val="none" w:sz="0" w:space="0" w:color="auto"/>
        <w:bottom w:val="none" w:sz="0" w:space="0" w:color="auto"/>
        <w:right w:val="none" w:sz="0" w:space="0" w:color="auto"/>
      </w:divBdr>
    </w:div>
    <w:div w:id="1485007560">
      <w:bodyDiv w:val="1"/>
      <w:marLeft w:val="0"/>
      <w:marRight w:val="0"/>
      <w:marTop w:val="0"/>
      <w:marBottom w:val="0"/>
      <w:divBdr>
        <w:top w:val="none" w:sz="0" w:space="0" w:color="auto"/>
        <w:left w:val="none" w:sz="0" w:space="0" w:color="auto"/>
        <w:bottom w:val="none" w:sz="0" w:space="0" w:color="auto"/>
        <w:right w:val="none" w:sz="0" w:space="0" w:color="auto"/>
      </w:divBdr>
      <w:divsChild>
        <w:div w:id="8873166">
          <w:marLeft w:val="0"/>
          <w:marRight w:val="0"/>
          <w:marTop w:val="0"/>
          <w:marBottom w:val="0"/>
          <w:divBdr>
            <w:top w:val="none" w:sz="0" w:space="0" w:color="auto"/>
            <w:left w:val="none" w:sz="0" w:space="0" w:color="auto"/>
            <w:bottom w:val="none" w:sz="0" w:space="0" w:color="auto"/>
            <w:right w:val="none" w:sz="0" w:space="0" w:color="auto"/>
          </w:divBdr>
          <w:divsChild>
            <w:div w:id="939139274">
              <w:marLeft w:val="0"/>
              <w:marRight w:val="0"/>
              <w:marTop w:val="0"/>
              <w:marBottom w:val="0"/>
              <w:divBdr>
                <w:top w:val="none" w:sz="0" w:space="0" w:color="auto"/>
                <w:left w:val="none" w:sz="0" w:space="0" w:color="auto"/>
                <w:bottom w:val="none" w:sz="0" w:space="0" w:color="auto"/>
                <w:right w:val="none" w:sz="0" w:space="0" w:color="auto"/>
              </w:divBdr>
              <w:divsChild>
                <w:div w:id="390614166">
                  <w:marLeft w:val="-225"/>
                  <w:marRight w:val="-225"/>
                  <w:marTop w:val="0"/>
                  <w:marBottom w:val="0"/>
                  <w:divBdr>
                    <w:top w:val="none" w:sz="0" w:space="0" w:color="auto"/>
                    <w:left w:val="none" w:sz="0" w:space="0" w:color="auto"/>
                    <w:bottom w:val="none" w:sz="0" w:space="0" w:color="auto"/>
                    <w:right w:val="none" w:sz="0" w:space="0" w:color="auto"/>
                  </w:divBdr>
                  <w:divsChild>
                    <w:div w:id="115224633">
                      <w:marLeft w:val="0"/>
                      <w:marRight w:val="0"/>
                      <w:marTop w:val="0"/>
                      <w:marBottom w:val="0"/>
                      <w:divBdr>
                        <w:top w:val="none" w:sz="0" w:space="0" w:color="auto"/>
                        <w:left w:val="none" w:sz="0" w:space="0" w:color="auto"/>
                        <w:bottom w:val="none" w:sz="0" w:space="0" w:color="auto"/>
                        <w:right w:val="none" w:sz="0" w:space="0" w:color="auto"/>
                      </w:divBdr>
                      <w:divsChild>
                        <w:div w:id="1158497505">
                          <w:marLeft w:val="-225"/>
                          <w:marRight w:val="-225"/>
                          <w:marTop w:val="0"/>
                          <w:marBottom w:val="0"/>
                          <w:divBdr>
                            <w:top w:val="none" w:sz="0" w:space="0" w:color="auto"/>
                            <w:left w:val="none" w:sz="0" w:space="0" w:color="auto"/>
                            <w:bottom w:val="none" w:sz="0" w:space="0" w:color="auto"/>
                            <w:right w:val="none" w:sz="0" w:space="0" w:color="auto"/>
                          </w:divBdr>
                          <w:divsChild>
                            <w:div w:id="1419062026">
                              <w:marLeft w:val="0"/>
                              <w:marRight w:val="0"/>
                              <w:marTop w:val="0"/>
                              <w:marBottom w:val="0"/>
                              <w:divBdr>
                                <w:top w:val="none" w:sz="0" w:space="0" w:color="auto"/>
                                <w:left w:val="none" w:sz="0" w:space="0" w:color="auto"/>
                                <w:bottom w:val="none" w:sz="0" w:space="0" w:color="auto"/>
                                <w:right w:val="none" w:sz="0" w:space="0" w:color="auto"/>
                              </w:divBdr>
                              <w:divsChild>
                                <w:div w:id="17415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849208">
      <w:bodyDiv w:val="1"/>
      <w:marLeft w:val="0"/>
      <w:marRight w:val="0"/>
      <w:marTop w:val="0"/>
      <w:marBottom w:val="0"/>
      <w:divBdr>
        <w:top w:val="none" w:sz="0" w:space="0" w:color="auto"/>
        <w:left w:val="none" w:sz="0" w:space="0" w:color="auto"/>
        <w:bottom w:val="none" w:sz="0" w:space="0" w:color="auto"/>
        <w:right w:val="none" w:sz="0" w:space="0" w:color="auto"/>
      </w:divBdr>
    </w:div>
    <w:div w:id="1592353863">
      <w:bodyDiv w:val="1"/>
      <w:marLeft w:val="0"/>
      <w:marRight w:val="0"/>
      <w:marTop w:val="0"/>
      <w:marBottom w:val="0"/>
      <w:divBdr>
        <w:top w:val="none" w:sz="0" w:space="0" w:color="auto"/>
        <w:left w:val="none" w:sz="0" w:space="0" w:color="auto"/>
        <w:bottom w:val="none" w:sz="0" w:space="0" w:color="auto"/>
        <w:right w:val="none" w:sz="0" w:space="0" w:color="auto"/>
      </w:divBdr>
    </w:div>
    <w:div w:id="173500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cstoll\Vorlagen\Reglement_DE.dotx" TargetMode="External"/></Relationships>
</file>

<file path=word/theme/theme1.xml><?xml version="1.0" encoding="utf-8"?>
<a:theme xmlns:a="http://schemas.openxmlformats.org/drawingml/2006/main" name="FMH">
  <a:themeElements>
    <a:clrScheme name="FMH">
      <a:dk1>
        <a:srgbClr val="3C5587"/>
      </a:dk1>
      <a:lt1>
        <a:sysClr val="window" lastClr="FFFFFF"/>
      </a:lt1>
      <a:dk2>
        <a:srgbClr val="000000"/>
      </a:dk2>
      <a:lt2>
        <a:srgbClr val="FFFFFF"/>
      </a:lt2>
      <a:accent1>
        <a:srgbClr val="3C5587"/>
      </a:accent1>
      <a:accent2>
        <a:srgbClr val="DCDCDC"/>
      </a:accent2>
      <a:accent3>
        <a:srgbClr val="556473"/>
      </a:accent3>
      <a:accent4>
        <a:srgbClr val="CDA028"/>
      </a:accent4>
      <a:accent5>
        <a:srgbClr val="A0966E"/>
      </a:accent5>
      <a:accent6>
        <a:srgbClr val="E6DCB4"/>
      </a:accent6>
      <a:hlink>
        <a:srgbClr val="3C5587"/>
      </a:hlink>
      <a:folHlink>
        <a:srgbClr val="A0966E"/>
      </a:folHlink>
    </a:clrScheme>
    <a:fontScheme name="FMH">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9841545200C439E6084688A8E50F8" ma:contentTypeVersion="11" ma:contentTypeDescription="Create a new document." ma:contentTypeScope="" ma:versionID="ee3dd54c53d42973d6f00b52b523e0ee">
  <xsd:schema xmlns:xsd="http://www.w3.org/2001/XMLSchema" xmlns:xs="http://www.w3.org/2001/XMLSchema" xmlns:p="http://schemas.microsoft.com/office/2006/metadata/properties" xmlns:ns2="611cf1e1-085f-4ad8-ae14-683cbf568473" xmlns:ns3="5d5fbec4-cf91-423e-a19a-5369e2e5750c" targetNamespace="http://schemas.microsoft.com/office/2006/metadata/properties" ma:root="true" ma:fieldsID="445289503dfb36cb9d3e6c28bfc36e17" ns2:_="" ns3:_="">
    <xsd:import namespace="611cf1e1-085f-4ad8-ae14-683cbf568473"/>
    <xsd:import namespace="5d5fbec4-cf91-423e-a19a-5369e2e57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f1e1-085f-4ad8-ae14-683cbf568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5fbec4-cf91-423e-a19a-5369e2e57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Bas11</b:Tag>
    <b:SourceType>ArticleInAPeriodical</b:SourceType>
    <b:Guid>{C2122764-CE6D-4736-B524-3BDB36CDBCDB}</b:Guid>
    <b:Author>
      <b:Author>
        <b:NameList>
          <b:Person>
            <b:Last>Kadry</b:Last>
            <b:First>Bassam</b:First>
          </b:Person>
          <b:Person>
            <b:Last>Chu</b:Last>
            <b:First>Larry</b:First>
            <b:Middle>F</b:Middle>
          </b:Person>
          <b:Person>
            <b:Last>Kadry</b:Last>
            <b:First>Bayan</b:First>
          </b:Person>
          <b:Person>
            <b:Last>Gammas</b:Last>
            <b:First>Danya</b:First>
          </b:Person>
          <b:Person>
            <b:Last>Macario</b:Last>
            <b:First>Alex</b:First>
          </b:Person>
        </b:NameList>
      </b:Author>
    </b:Author>
    <b:Title>Analysis of 4999 Online Physician Ratings Indicates That Most Patients Give Physicians a Favorable Rating</b:Title>
    <b:PeriodicalTitle>JOURNAL OF MEDICAL INTERNET RESEARCH</b:PeriodicalTitle>
    <b:Year>2011</b:Year>
    <b:RefOrder>1</b:RefOrder>
  </b:Source>
  <b:Source>
    <b:Tag>Stu17</b:Tag>
    <b:SourceType>ArticleInAPeriodical</b:SourceType>
    <b:Guid>{A05AE350-6F16-4C7C-940E-90F4A9ABE182}</b:Guid>
    <b:Author>
      <b:Author>
        <b:NameList>
          <b:Person>
            <b:Last>McLennan</b:Last>
            <b:First>Stuart</b:First>
          </b:Person>
          <b:Person>
            <b:Last>Strech</b:Last>
            <b:First>Daniel</b:First>
          </b:Person>
          <b:Person>
            <b:Last>Meyer</b:Last>
            <b:First>Andrea</b:First>
          </b:Person>
          <b:Person>
            <b:Last>Kahrass</b:Last>
            <b:First>Hannes</b:First>
          </b:Person>
        </b:NameList>
      </b:Author>
    </b:Author>
    <b:Title>Public Awareness and Use of German Physician Ratings Websites: Cross-Sectional Survey of Four North German Cities</b:Title>
    <b:PeriodicalTitle>JOURNAL OF MEDICAL INTERNET RESEARCH</b:PeriodicalTitle>
    <b:Year>2017</b:Year>
    <b:RefOrder>2</b:RefOrder>
  </b:Source>
  <b:Source>
    <b:Tag>Tom14</b:Tag>
    <b:SourceType>InternetSite</b:SourceType>
    <b:Guid>{C319C58C-B3B2-4D39-A264-C1F8F986EEE2}</b:Guid>
    <b:Title>holidaycheckgroup.com</b:Title>
    <b:Year>2014</b:Year>
    <b:YearAccessed>2019</b:YearAccessed>
    <b:MonthAccessed>April</b:MonthAccessed>
    <b:Author>
      <b:Editor>
        <b:NameList>
          <b:Person>
            <b:Last>Media</b:Last>
            <b:First>Tomorrow</b:First>
            <b:Middle>Focus</b:Middle>
          </b:Person>
        </b:NameList>
      </b:Editor>
      <b:Author>
        <b:Corporate>Tomorrow Focus Media</b:Corporate>
      </b:Author>
    </b:Author>
    <b:URL>https://www.holidaycheckgroup.com/wp-content/uploads/2016/07/TOMORROW-FOCUS-AG_Umfrage_Die-Psychologie_des_Bewertens_Pr%C3%A4sentation-1.pdf</b:URL>
    <b:RefOrder>3</b:RefOrder>
  </b:Source>
  <b:Source>
    <b:Tag>Mar13</b:Tag>
    <b:SourceType>ArticleInAPeriodical</b:SourceType>
    <b:Guid>{34442A40-88BE-4E2D-A745-09196987C783}</b:Guid>
    <b:Author>
      <b:Author>
        <b:NameList>
          <b:Person>
            <b:Last>Emmert</b:Last>
            <b:First>Martin</b:First>
          </b:Person>
          <b:Person>
            <b:Last>Sander</b:Last>
            <b:First>Uwe</b:First>
          </b:Person>
          <b:Person>
            <b:Last>Pisch</b:Last>
            <b:First>Frank</b:First>
          </b:Person>
        </b:NameList>
      </b:Author>
    </b:Author>
    <b:Title>Eight Questions About Physician-Rating Websites:A Systematic Review</b:Title>
    <b:PeriodicalTitle>JOURNAL OF MEDICAL INTERNET RESEARCH</b:PeriodicalTitle>
    <b:Year>2013</b:Year>
    <b:RefOrder>4</b:RefOrder>
  </b:Source>
  <b:Source>
    <b:Tag>htt19</b:Tag>
    <b:SourceType>InternetSite</b:SourceType>
    <b:Guid>{CF2A8ACD-CD49-44E3-B8A2-DCCA5775D3B4}</b:Guid>
    <b:Title>bitkomresearch.de</b:Title>
    <b:Year>2019</b:Year>
    <b:Month>Februar</b:Month>
    <b:Day>28</b:Day>
    <b:URL>https://www.bitkom-research.de/WebRoot/Store19/Shops/63742557/519B/39BD/6B79/2D15/00F7/C0A8/29BA/7EB1/BITKOM_Presseinfo_Bewertung_von_Arbeitgebern_17_05_2013.pdf</b:URL>
    <b:RefOrder>5</b:RefOrder>
  </b:Source>
  <b:Source>
    <b:Tag>Mar15</b:Tag>
    <b:SourceType>ArticleInAPeriodical</b:SourceType>
    <b:Guid>{506DFAE7-0150-4221-B704-557134513EB3}</b:Guid>
    <b:Author>
      <b:Author>
        <b:NameList>
          <b:Person>
            <b:Last>Emmert</b:Last>
            <b:First>Martin</b:First>
          </b:Person>
          <b:Person>
            <b:Last>Halling</b:Last>
            <b:First>Frank</b:First>
          </b:Person>
          <b:Person>
            <b:Last>Meier</b:Last>
            <b:First>Florian</b:First>
          </b:Person>
        </b:NameList>
      </b:Author>
    </b:Author>
    <b:Title>Evaluations of Dentists on a German Physician Rating Website: An Analysis of the Ratings</b:Title>
    <b:PeriodicalTitle>JOURNAL OF MEDICAL INTERNET RESEARCH</b:PeriodicalTitle>
    <b:Year>2015</b:Year>
    <b:RefOrder>6</b:RefOrder>
  </b:Source>
  <b:Source>
    <b:Tag>Fab18</b:Tag>
    <b:SourceType>ArticleInAPeriodical</b:SourceType>
    <b:Guid>{AFE581A9-A2C8-4526-9087-75E6E9A01FAD}</b:Guid>
    <b:Author>
      <b:Author>
        <b:NameList>
          <b:Person>
            <b:Last>Rothenfluh</b:Last>
            <b:First>Fabia</b:First>
          </b:Person>
          <b:Person>
            <b:Last>Schulz</b:Last>
            <b:First>Peter</b:First>
            <b:Middle>J</b:Middle>
          </b:Person>
        </b:NameList>
      </b:Author>
    </b:Author>
    <b:Title>Content, Quality, and Assessment Tools of Physician-Rating Websites in 12 Countries: Quantitative Analysis</b:Title>
    <b:PeriodicalTitle>JOURNAL OF MEDICAL INTERNET RESEARCH</b:PeriodicalTitle>
    <b:Year>2018</b:Year>
    <b:RefOrder>7</b:RefOrder>
  </b:Source>
  <b:Source>
    <b:Tag>Mar16</b:Tag>
    <b:SourceType>ArticleInAPeriodical</b:SourceType>
    <b:Guid>{7978739F-3E43-4B45-9C66-E737BA4A760B}</b:Guid>
    <b:Author>
      <b:Author>
        <b:NameList>
          <b:Person>
            <b:Last>Emmert</b:Last>
            <b:First>Martin</b:First>
          </b:Person>
          <b:Person>
            <b:Last>Meszmer</b:Last>
            <b:First>Nina</b:First>
          </b:Person>
          <b:Person>
            <b:Last>Sander</b:Last>
            <b:First>Uwe</b:First>
          </b:Person>
        </b:NameList>
      </b:Author>
    </b:Author>
    <b:Title>Do Health Care Providers Use Online Patient Ratings to Improve the Quality of Care? Results From an Online-Based Cross-Sectional Study</b:Title>
    <b:PeriodicalTitle>JOURNAL OF MEDICAL INTERNET RESEARCH</b:PeriodicalTitle>
    <b:Year>2016</b:Year>
    <b:RefOrder>8</b:RefOrder>
  </b:Source>
  <b:Source>
    <b:Tag>Ral14</b:Tag>
    <b:SourceType>ArticleInAPeriodical</b:SourceType>
    <b:Guid>{369B645B-5BC3-4B2E-8CCE-A42063D22F72}</b:Guid>
    <b:Author>
      <b:Author>
        <b:NameList>
          <b:Person>
            <b:Last>Terlutter</b:Last>
            <b:First>Ralf</b:First>
          </b:Person>
          <b:Person>
            <b:Last>Bidmon</b:Last>
            <b:First>Sonja</b:First>
          </b:Person>
          <b:Person>
            <b:Last>Röttl</b:Last>
            <b:First>Johanna</b:First>
          </b:Person>
        </b:NameList>
      </b:Author>
    </b:Author>
    <b:Title>Who Uses Physician-Rating Websites? Differences in Sociodemographic Variables, Psychographic Variables, and Health Status of Users and Nonusers of Physician-Rating Websites</b:Title>
    <b:PeriodicalTitle>JOURNAL OF MEDICAL INTERNET RESEARCH</b:PeriodicalTitle>
    <b:Year>2014</b:Year>
    <b:RefOrder>9</b:RefOrder>
  </b:Source>
  <b:Source>
    <b:Tag>Stu171</b:Tag>
    <b:SourceType>ArticleInAPeriodical</b:SourceType>
    <b:Guid>{4D1E0FED-DCC1-4F1E-8475-7F2694E76296}</b:Guid>
    <b:Author>
      <b:Author>
        <b:NameList>
          <b:Person>
            <b:Last>McLennan</b:Last>
            <b:First>Stuart</b:First>
          </b:Person>
          <b:Person>
            <b:Last>Strech</b:Last>
            <b:First>Daniel</b:First>
          </b:Person>
          <b:Person>
            <b:Last>Reimann</b:Last>
            <b:First>Swantje</b:First>
          </b:Person>
        </b:NameList>
      </b:Author>
    </b:Author>
    <b:Title>Developments in the Frequency of Ratings and Evaluation Tendencies:A Review of German Physician Rating Websites</b:Title>
    <b:PeriodicalTitle>JOURNAL OF MEDICAL INTERNET RESEARCH</b:PeriodicalTitle>
    <b:Year>2017</b:Year>
    <b:RefOrder>10</b:RefOrder>
  </b:Source>
  <b:Source xmlns:b="http://schemas.openxmlformats.org/officeDocument/2006/bibliography">
    <b:Tag>Sal18</b:Tag>
    <b:SourceType>ArticleInAPeriodical</b:SourceType>
    <b:Guid>{1C86FCED-330F-42D6-9D8D-A854D0226558}</b:Guid>
    <b:Title>Public Awareness, Usage, and Predictors for the Use of Doctor</b:Title>
    <b:Year>2018</b:Year>
    <b:Author>
      <b:Author>
        <b:NameList>
          <b:Person>
            <b:Last>Salma Patel1</b:Last>
            <b:First>BSc</b:First>
            <b:Middle>(Hons), PhD</b:Middle>
          </b:Person>
          <b:Person>
            <b:Last>Rebecca Cain2</b:Last>
            <b:First>BA</b:First>
            <b:Middle>(Hons), PhD</b:Middle>
          </b:Person>
          <b:Person>
            <b:Last>Kevin Neailey3</b:Last>
            <b:First>BSc</b:First>
            <b:Middle>(Hons), PhD</b:Middle>
          </b:Person>
          <b:Person>
            <b:Last>Lucy Hooberman3</b:Last>
          </b:Person>
        </b:NameList>
      </b:Author>
    </b:Author>
    <b:PeriodicalTitle>JOURNAL OF MEDICAL INTERNET RESEARCH</b:PeriodicalTitle>
    <b:RefOrder>11</b:RefOrder>
  </b:Source>
</b:Sources>
</file>

<file path=customXml/itemProps1.xml><?xml version="1.0" encoding="utf-8"?>
<ds:datastoreItem xmlns:ds="http://schemas.openxmlformats.org/officeDocument/2006/customXml" ds:itemID="{427E9D7C-6CE1-4A13-AEEE-2BF729EB0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f1e1-085f-4ad8-ae14-683cbf568473"/>
    <ds:schemaRef ds:uri="5d5fbec4-cf91-423e-a19a-5369e2e57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985BA-7EA9-4816-A245-3FD9F81E5BF5}">
  <ds:schemaRefs>
    <ds:schemaRef ds:uri="http://schemas.microsoft.com/sharepoint/v3/contenttype/forms"/>
  </ds:schemaRefs>
</ds:datastoreItem>
</file>

<file path=customXml/itemProps3.xml><?xml version="1.0" encoding="utf-8"?>
<ds:datastoreItem xmlns:ds="http://schemas.openxmlformats.org/officeDocument/2006/customXml" ds:itemID="{64D883AD-398B-4136-B74C-980F31519C40}">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611cf1e1-085f-4ad8-ae14-683cbf568473"/>
    <ds:schemaRef ds:uri="http://schemas.openxmlformats.org/package/2006/metadata/core-properties"/>
    <ds:schemaRef ds:uri="5d5fbec4-cf91-423e-a19a-5369e2e5750c"/>
    <ds:schemaRef ds:uri="http://www.w3.org/XML/1998/namespace"/>
    <ds:schemaRef ds:uri="http://purl.org/dc/dcmitype/"/>
  </ds:schemaRefs>
</ds:datastoreItem>
</file>

<file path=customXml/itemProps4.xml><?xml version="1.0" encoding="utf-8"?>
<ds:datastoreItem xmlns:ds="http://schemas.openxmlformats.org/officeDocument/2006/customXml" ds:itemID="{5A2B5FAD-A07B-4169-A65F-CE4256C5C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Reglement_DE.dotx</Template>
  <TotalTime>0</TotalTime>
  <Pages>9</Pages>
  <Words>2878</Words>
  <Characters>18132</Characters>
  <Application>Microsoft Office Word</Application>
  <DocSecurity>0</DocSecurity>
  <Lines>151</Lines>
  <Paragraphs>41</Paragraphs>
  <ScaleCrop>false</ScaleCrop>
  <HeadingPairs>
    <vt:vector size="2" baseType="variant">
      <vt:variant>
        <vt:lpstr>Titel</vt:lpstr>
      </vt:variant>
      <vt:variant>
        <vt:i4>1</vt:i4>
      </vt:variant>
    </vt:vector>
  </HeadingPairs>
  <TitlesOfParts>
    <vt:vector size="1" baseType="lpstr">
      <vt:lpstr>Protokoll DE</vt:lpstr>
    </vt:vector>
  </TitlesOfParts>
  <Company>FMH</Company>
  <LinksUpToDate>false</LinksUpToDate>
  <CharactersWithSpaces>20969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DE</dc:title>
  <dc:creator>Röthlisberger Fabian</dc:creator>
  <cp:lastModifiedBy>Stoll Claudia</cp:lastModifiedBy>
  <cp:revision>10</cp:revision>
  <cp:lastPrinted>2019-12-13T08:34:00Z</cp:lastPrinted>
  <dcterms:created xsi:type="dcterms:W3CDTF">2019-12-13T08:34:00Z</dcterms:created>
  <dcterms:modified xsi:type="dcterms:W3CDTF">2020-03-09T10:47:00Z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fc589bce-0790-3fcc-bc29-343799cb2313</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http://www.zotero.org/styles/vancouver</vt:lpwstr>
  </property>
  <property fmtid="{D5CDD505-2E9C-101B-9397-08002B2CF9AE}" pid="25" name="ContentTypeId">
    <vt:lpwstr>0x0101001FA9841545200C439E6084688A8E50F8</vt:lpwstr>
  </property>
</Properties>
</file>